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fcec0c516204ab6055637147641ac85362ab216"/>
    <w:p>
      <w:pPr>
        <w:pStyle w:val="Heading1"/>
      </w:pPr>
      <w:r>
        <w:t xml:space="preserve">4.3 Final Performance Validation and Comparison (New Version)</w:t>
      </w:r>
    </w:p>
    <w:p>
      <w:pPr>
        <w:pStyle w:val="FirstParagraph"/>
      </w:pPr>
      <w:r>
        <w:t xml:space="preserve">In the previous section, we conducted a detailed analysis of the training dynamics of the deep learning controllers and observed the potential exhibited by specific hyperparameter combinations in the training environment. However, whether the performance during the training phase can directly translate to the model’s actual performance in longer, more general scenarios is the core question this section aims to explore. This directly relates to the model’s</w:t>
      </w:r>
      <w:r>
        <w:t xml:space="preserve"> </w:t>
      </w:r>
      <w:r>
        <w:rPr>
          <w:b/>
          <w:bCs/>
        </w:rPr>
        <w:t xml:space="preserve">Generalization</w:t>
      </w:r>
      <w:r>
        <w:t xml:space="preserve"> </w:t>
      </w:r>
      <w:r>
        <w:t xml:space="preserve">and</w:t>
      </w:r>
      <w:r>
        <w:t xml:space="preserve"> </w:t>
      </w:r>
      <w:r>
        <w:rPr>
          <w:b/>
          <w:bCs/>
        </w:rPr>
        <w:t xml:space="preserve">Robustness</w:t>
      </w:r>
      <w:r>
        <w:t xml:space="preserve">, which are the ultimate touchstones for measuring the practical value of a control strategy.</w:t>
      </w:r>
    </w:p>
    <w:p>
      <w:pPr>
        <w:pStyle w:val="BodyText"/>
      </w:pPr>
      <w:r>
        <w:t xml:space="preserve">To this end, this section places all thirteen control strategies—including baselines, DQN, and all NERL models—in a unified and more challenging standardized validation scenario. Each validation has a simulation duration of 50,000 ticks, and to eliminate errors caused by randomness, each experimental group was run independently four times (the</w:t>
      </w:r>
      <w:r>
        <w:t xml:space="preserve"> </w:t>
      </w:r>
      <w:r>
        <w:rPr>
          <w:rStyle w:val="VerbatimChar"/>
        </w:rPr>
        <w:t xml:space="preserve">Baseline-T</w:t>
      </w:r>
      <w:r>
        <w:t xml:space="preserve"> </w:t>
      </w:r>
      <w:r>
        <w:t xml:space="preserve">group had one anomalous run excluded, thus counting three runs). This section aims to objectively reveal which control strategy can demonstrate ultimate comprehensive superiority in persistent tasks that more closely resemble real-world operations through a multi-dimensional analysis of the final results.</w:t>
      </w:r>
    </w:p>
    <w:bookmarkStart w:id="9" w:name="X415910b2d47feb9a55bdfadfd641d62cff0b15c"/>
    <w:p>
      <w:pPr>
        <w:pStyle w:val="Heading3"/>
      </w:pPr>
      <w:r>
        <w:t xml:space="preserve">4.3.1 Comprehensive Performance Comparison: Finding the Optimal Balance Between Energy Efficiency and Throughput</w:t>
      </w:r>
    </w:p>
    <w:p>
      <w:pPr>
        <w:pStyle w:val="FirstParagraph"/>
      </w:pPr>
      <w:r>
        <w:t xml:space="preserve">To conduct a comprehensive evaluation of all control strategies, we first focus on two core performance indicators:</w:t>
      </w:r>
      <w:r>
        <w:t xml:space="preserve"> </w:t>
      </w:r>
      <w:r>
        <w:t xml:space="preserve">“Order Completion Rate,”</w:t>
      </w:r>
      <w:r>
        <w:t xml:space="preserve"> </w:t>
      </w:r>
      <w:r>
        <w:t xml:space="preserve">representing</w:t>
      </w:r>
      <w:r>
        <w:t xml:space="preserve"> </w:t>
      </w:r>
      <w:r>
        <w:rPr>
          <w:b/>
          <w:bCs/>
        </w:rPr>
        <w:t xml:space="preserve">throughput efficiency</w:t>
      </w:r>
      <w:r>
        <w:t xml:space="preserve">, and</w:t>
      </w:r>
      <w:r>
        <w:t xml:space="preserve"> </w:t>
      </w:r>
      <w:r>
        <w:t xml:space="preserve">“Average Energy Consumption per Order,”</w:t>
      </w:r>
      <w:r>
        <w:t xml:space="preserve"> </w:t>
      </w:r>
      <w:r>
        <w:t xml:space="preserve">representing</w:t>
      </w:r>
      <w:r>
        <w:t xml:space="preserve"> </w:t>
      </w:r>
      <w:r>
        <w:rPr>
          <w:b/>
          <w:bCs/>
        </w:rPr>
        <w:t xml:space="preserve">economy and sustainability</w:t>
      </w:r>
      <w:r>
        <w:t xml:space="preserve">. Table 4.3.1 summarizes the final validation data for all experimental groups, providing a basis for subsequent in-depth analysis.</w:t>
      </w:r>
    </w:p>
    <w:p>
      <w:pPr>
        <w:pStyle w:val="TableCaption"/>
      </w:pPr>
      <w:r>
        <w:t xml:space="preserve">Summary of Final Model Validation Performance Statistics for All Experimental Groups</w:t>
      </w:r>
    </w:p>
    <w:tbl>
      <w:tblPr>
        <w:tblStyle w:val="Table"/>
        <w:tblW w:type="auto" w:w="0"/>
        <w:tblLook w:firstRow="1" w:lastRow="0" w:firstColumn="0" w:lastColumn="0" w:noHBand="0" w:noVBand="0" w:val="0020"/>
        <w:tblCaption w:val="Summary of Final Model Validation Performance Statistics for All Experimental Groups"/>
      </w:tblPr>
      <w:tblGrid>
        <w:gridCol w:w="2640"/>
        <w:gridCol w:w="2640"/>
        <w:gridCol w:w="2640"/>
      </w:tblGrid>
      <w:tr>
        <w:trPr>
          <w:tblHeader w:val="on"/>
        </w:trPr>
        <w:tc>
          <w:tcPr/>
          <w:p>
            <w:pPr>
              <w:pStyle w:val="Compact"/>
              <w:jc w:val="left"/>
            </w:pPr>
            <w:r>
              <w:t xml:space="preserve">Experiment Group</w:t>
            </w:r>
          </w:p>
        </w:tc>
        <w:tc>
          <w:tcPr/>
          <w:p>
            <w:pPr>
              <w:pStyle w:val="Compact"/>
              <w:jc w:val="right"/>
            </w:pPr>
            <w:r>
              <w:t xml:space="preserve">completion_rate_mean</w:t>
            </w:r>
          </w:p>
        </w:tc>
        <w:tc>
          <w:tcPr/>
          <w:p>
            <w:pPr>
              <w:pStyle w:val="Compact"/>
              <w:jc w:val="right"/>
            </w:pPr>
            <w:r>
              <w:t xml:space="preserve">energy_per_order_mean</w:t>
            </w:r>
          </w:p>
        </w:tc>
      </w:tr>
      <w:tr>
        <w:tc>
          <w:tcPr/>
          <w:p>
            <w:pPr>
              <w:pStyle w:val="Compact"/>
              <w:jc w:val="left"/>
            </w:pPr>
            <w:r>
              <w:t xml:space="preserve">Baseline-N</w:t>
            </w:r>
          </w:p>
        </w:tc>
        <w:tc>
          <w:tcPr/>
          <w:p>
            <w:pPr>
              <w:pStyle w:val="Compact"/>
              <w:jc w:val="right"/>
            </w:pPr>
            <w:r>
              <w:t xml:space="preserve">0.8884</w:t>
            </w:r>
          </w:p>
        </w:tc>
        <w:tc>
          <w:tcPr/>
          <w:p>
            <w:pPr>
              <w:pStyle w:val="Compact"/>
              <w:jc w:val="right"/>
            </w:pPr>
            <w:r>
              <w:t xml:space="preserve">180.1048</w:t>
            </w:r>
          </w:p>
        </w:tc>
      </w:tr>
      <w:tr>
        <w:tc>
          <w:tcPr/>
          <w:p>
            <w:pPr>
              <w:pStyle w:val="Compact"/>
              <w:jc w:val="left"/>
            </w:pPr>
            <w:r>
              <w:t xml:space="preserve">DQN-S</w:t>
            </w:r>
          </w:p>
        </w:tc>
        <w:tc>
          <w:tcPr/>
          <w:p>
            <w:pPr>
              <w:pStyle w:val="Compact"/>
              <w:jc w:val="right"/>
            </w:pPr>
            <w:r>
              <w:t xml:space="preserve">0.8836</w:t>
            </w:r>
          </w:p>
        </w:tc>
        <w:tc>
          <w:tcPr/>
          <w:p>
            <w:pPr>
              <w:pStyle w:val="Compact"/>
              <w:jc w:val="right"/>
            </w:pPr>
            <w:r>
              <w:t xml:space="preserve">183.1974</w:t>
            </w:r>
          </w:p>
        </w:tc>
      </w:tr>
      <w:tr>
        <w:tc>
          <w:tcPr/>
          <w:p>
            <w:pPr>
              <w:pStyle w:val="Compact"/>
              <w:jc w:val="left"/>
            </w:pPr>
            <w:r>
              <w:t xml:space="preserve">Baseline-Q</w:t>
            </w:r>
          </w:p>
        </w:tc>
        <w:tc>
          <w:tcPr/>
          <w:p>
            <w:pPr>
              <w:pStyle w:val="Compact"/>
              <w:jc w:val="right"/>
            </w:pPr>
            <w:r>
              <w:t xml:space="preserve">0.8801</w:t>
            </w:r>
          </w:p>
        </w:tc>
        <w:tc>
          <w:tcPr/>
          <w:p>
            <w:pPr>
              <w:pStyle w:val="Compact"/>
              <w:jc w:val="right"/>
            </w:pPr>
            <w:r>
              <w:t xml:space="preserve">193.6532</w:t>
            </w:r>
          </w:p>
        </w:tc>
      </w:tr>
      <w:tr>
        <w:tc>
          <w:tcPr/>
          <w:p>
            <w:pPr>
              <w:pStyle w:val="Compact"/>
              <w:jc w:val="left"/>
            </w:pPr>
            <w:r>
              <w:t xml:space="preserve">DQN-G</w:t>
            </w:r>
          </w:p>
        </w:tc>
        <w:tc>
          <w:tcPr/>
          <w:p>
            <w:pPr>
              <w:pStyle w:val="Compact"/>
              <w:jc w:val="right"/>
            </w:pPr>
            <w:r>
              <w:t xml:space="preserve">0.8734</w:t>
            </w:r>
          </w:p>
        </w:tc>
        <w:tc>
          <w:tcPr/>
          <w:p>
            <w:pPr>
              <w:pStyle w:val="Compact"/>
              <w:jc w:val="right"/>
            </w:pPr>
            <w:r>
              <w:t xml:space="preserve">184.5866</w:t>
            </w:r>
          </w:p>
        </w:tc>
      </w:tr>
      <w:tr>
        <w:tc>
          <w:tcPr/>
          <w:p>
            <w:pPr>
              <w:pStyle w:val="Compact"/>
              <w:jc w:val="left"/>
            </w:pPr>
            <w:r>
              <w:t xml:space="preserve">NERL-G-B3</w:t>
            </w:r>
          </w:p>
        </w:tc>
        <w:tc>
          <w:tcPr/>
          <w:p>
            <w:pPr>
              <w:pStyle w:val="Compact"/>
              <w:jc w:val="right"/>
            </w:pPr>
            <w:r>
              <w:t xml:space="preserve">0.8733</w:t>
            </w:r>
          </w:p>
        </w:tc>
        <w:tc>
          <w:tcPr/>
          <w:p>
            <w:pPr>
              <w:pStyle w:val="Compact"/>
              <w:jc w:val="right"/>
            </w:pPr>
            <w:r>
              <w:t xml:space="preserve">156.6949</w:t>
            </w:r>
          </w:p>
        </w:tc>
      </w:tr>
      <w:tr>
        <w:tc>
          <w:tcPr/>
          <w:p>
            <w:pPr>
              <w:pStyle w:val="Compact"/>
              <w:jc w:val="left"/>
            </w:pPr>
            <w:r>
              <w:t xml:space="preserve">NERL-G-A3</w:t>
            </w:r>
          </w:p>
        </w:tc>
        <w:tc>
          <w:tcPr/>
          <w:p>
            <w:pPr>
              <w:pStyle w:val="Compact"/>
              <w:jc w:val="right"/>
            </w:pPr>
            <w:r>
              <w:t xml:space="preserve">0.8710</w:t>
            </w:r>
          </w:p>
        </w:tc>
        <w:tc>
          <w:tcPr/>
          <w:p>
            <w:pPr>
              <w:pStyle w:val="Compact"/>
              <w:jc w:val="right"/>
            </w:pPr>
            <w:r>
              <w:t xml:space="preserve">169.2217</w:t>
            </w:r>
          </w:p>
        </w:tc>
      </w:tr>
      <w:tr>
        <w:tc>
          <w:tcPr/>
          <w:p>
            <w:pPr>
              <w:pStyle w:val="Compact"/>
              <w:jc w:val="left"/>
            </w:pPr>
            <w:r>
              <w:t xml:space="preserve">Baseline-T</w:t>
            </w:r>
          </w:p>
        </w:tc>
        <w:tc>
          <w:tcPr/>
          <w:p>
            <w:pPr>
              <w:pStyle w:val="Compact"/>
              <w:jc w:val="right"/>
            </w:pPr>
            <w:r>
              <w:t xml:space="preserve">0.8589</w:t>
            </w:r>
          </w:p>
        </w:tc>
        <w:tc>
          <w:tcPr/>
          <w:p>
            <w:pPr>
              <w:pStyle w:val="Compact"/>
              <w:jc w:val="right"/>
            </w:pPr>
            <w:r>
              <w:t xml:space="preserve">162.9613</w:t>
            </w:r>
          </w:p>
        </w:tc>
      </w:tr>
      <w:tr>
        <w:tc>
          <w:tcPr/>
          <w:p>
            <w:pPr>
              <w:pStyle w:val="Compact"/>
              <w:jc w:val="left"/>
            </w:pPr>
            <w:r>
              <w:t xml:space="preserve">NERL-S-A8</w:t>
            </w:r>
          </w:p>
        </w:tc>
        <w:tc>
          <w:tcPr/>
          <w:p>
            <w:pPr>
              <w:pStyle w:val="Compact"/>
              <w:jc w:val="right"/>
            </w:pPr>
            <w:r>
              <w:t xml:space="preserve">0.8575</w:t>
            </w:r>
          </w:p>
        </w:tc>
        <w:tc>
          <w:tcPr/>
          <w:p>
            <w:pPr>
              <w:pStyle w:val="Compact"/>
              <w:jc w:val="right"/>
            </w:pPr>
            <w:r>
              <w:t xml:space="preserve">140.3126</w:t>
            </w:r>
          </w:p>
        </w:tc>
      </w:tr>
      <w:tr>
        <w:tc>
          <w:tcPr/>
          <w:p>
            <w:pPr>
              <w:pStyle w:val="Compact"/>
              <w:jc w:val="left"/>
            </w:pPr>
            <w:r>
              <w:t xml:space="preserve">NERL-S-B3</w:t>
            </w:r>
          </w:p>
        </w:tc>
        <w:tc>
          <w:tcPr/>
          <w:p>
            <w:pPr>
              <w:pStyle w:val="Compact"/>
              <w:jc w:val="right"/>
            </w:pPr>
            <w:r>
              <w:t xml:space="preserve">0.8565</w:t>
            </w:r>
          </w:p>
        </w:tc>
        <w:tc>
          <w:tcPr/>
          <w:p>
            <w:pPr>
              <w:pStyle w:val="Compact"/>
              <w:jc w:val="right"/>
            </w:pPr>
            <w:r>
              <w:t xml:space="preserve">147.9236</w:t>
            </w:r>
          </w:p>
        </w:tc>
      </w:tr>
      <w:tr>
        <w:tc>
          <w:tcPr/>
          <w:p>
            <w:pPr>
              <w:pStyle w:val="Compact"/>
              <w:jc w:val="left"/>
            </w:pPr>
            <w:r>
              <w:t xml:space="preserve">NERL-S-A3</w:t>
            </w:r>
          </w:p>
        </w:tc>
        <w:tc>
          <w:tcPr/>
          <w:p>
            <w:pPr>
              <w:pStyle w:val="Compact"/>
              <w:jc w:val="right"/>
            </w:pPr>
            <w:r>
              <w:t xml:space="preserve">0.8563</w:t>
            </w:r>
          </w:p>
        </w:tc>
        <w:tc>
          <w:tcPr/>
          <w:p>
            <w:pPr>
              <w:pStyle w:val="Compact"/>
              <w:jc w:val="right"/>
            </w:pPr>
            <w:r>
              <w:t xml:space="preserve">122.7783</w:t>
            </w:r>
          </w:p>
        </w:tc>
      </w:tr>
      <w:tr>
        <w:tc>
          <w:tcPr/>
          <w:p>
            <w:pPr>
              <w:pStyle w:val="Compact"/>
              <w:jc w:val="left"/>
            </w:pPr>
            <w:r>
              <w:t xml:space="preserve">NERL-G-B8</w:t>
            </w:r>
          </w:p>
        </w:tc>
        <w:tc>
          <w:tcPr/>
          <w:p>
            <w:pPr>
              <w:pStyle w:val="Compact"/>
              <w:jc w:val="right"/>
            </w:pPr>
            <w:r>
              <w:t xml:space="preserve">0.8545</w:t>
            </w:r>
          </w:p>
        </w:tc>
        <w:tc>
          <w:tcPr/>
          <w:p>
            <w:pPr>
              <w:pStyle w:val="Compact"/>
              <w:jc w:val="right"/>
            </w:pPr>
            <w:r>
              <w:t xml:space="preserve">149.5427</w:t>
            </w:r>
          </w:p>
        </w:tc>
      </w:tr>
      <w:tr>
        <w:tc>
          <w:tcPr/>
          <w:p>
            <w:pPr>
              <w:pStyle w:val="Compact"/>
              <w:jc w:val="left"/>
            </w:pPr>
            <w:r>
              <w:t xml:space="preserve">NERL-S-B8</w:t>
            </w:r>
          </w:p>
        </w:tc>
        <w:tc>
          <w:tcPr/>
          <w:p>
            <w:pPr>
              <w:pStyle w:val="Compact"/>
              <w:jc w:val="right"/>
            </w:pPr>
            <w:r>
              <w:t xml:space="preserve">0.8526</w:t>
            </w:r>
          </w:p>
        </w:tc>
        <w:tc>
          <w:tcPr/>
          <w:p>
            <w:pPr>
              <w:pStyle w:val="Compact"/>
              <w:jc w:val="right"/>
            </w:pPr>
            <w:r>
              <w:t xml:space="preserve">144.1809</w:t>
            </w:r>
          </w:p>
        </w:tc>
      </w:tr>
      <w:tr>
        <w:tc>
          <w:tcPr/>
          <w:p>
            <w:pPr>
              <w:pStyle w:val="Compact"/>
              <w:jc w:val="left"/>
            </w:pPr>
            <w:r>
              <w:t xml:space="preserve">NERL-G-A8</w:t>
            </w:r>
          </w:p>
        </w:tc>
        <w:tc>
          <w:tcPr/>
          <w:p>
            <w:pPr>
              <w:pStyle w:val="Compact"/>
              <w:jc w:val="right"/>
            </w:pPr>
            <w:r>
              <w:t xml:space="preserve">0.8428</w:t>
            </w:r>
          </w:p>
        </w:tc>
        <w:tc>
          <w:tcPr/>
          <w:p>
            <w:pPr>
              <w:pStyle w:val="Compact"/>
              <w:jc w:val="right"/>
            </w:pPr>
            <w:r>
              <w:t xml:space="preserve">117.7915</w:t>
            </w:r>
          </w:p>
        </w:tc>
      </w:tr>
    </w:tbl>
    <w:p>
      <w:pPr>
        <w:pStyle w:val="BodyText"/>
      </w:pPr>
      <w:r>
        <w:rPr>
          <w:i/>
          <w:iCs/>
        </w:rPr>
        <w:t xml:space="preserve">To keep the table concise, only the average values of the core metrics are listed here. For the complete raw data from each independent run for all experiment groups, please refer to</w:t>
      </w:r>
      <w:r>
        <w:rPr>
          <w:i/>
          <w:iCs/>
        </w:rPr>
        <w:t xml:space="preserve"> </w:t>
      </w:r>
      <w:r>
        <w:rPr>
          <w:b/>
          <w:bCs/>
          <w:i/>
          <w:iCs/>
        </w:rPr>
        <w:t xml:space="preserve">Appendix A</w:t>
      </w:r>
      <w:r>
        <w:rPr>
          <w:i/>
          <w:iCs/>
        </w:rPr>
        <w:t xml:space="preserve"> </w:t>
      </w:r>
      <w:r>
        <w:rPr>
          <w:i/>
          <w:iCs/>
        </w:rPr>
        <w:t xml:space="preserve">at the end of this document.</w:t>
      </w:r>
    </w:p>
    <w:p>
      <w:pPr>
        <w:pStyle w:val="BodyText"/>
      </w:pPr>
      <w:r>
        <w:t xml:space="preserve">To more intuitively reveal the trade-off relationship between the strategies in the two dimensions mentioned above, we plotted the data from Table 4.3.1 into an energy-efficiency trade-off scatter plot (Figure 4.3.1). An ideal controller should be located in the</w:t>
      </w:r>
      <w:r>
        <w:t xml:space="preserve"> </w:t>
      </w:r>
      <w:r>
        <w:rPr>
          <w:b/>
          <w:bCs/>
        </w:rPr>
        <w:t xml:space="preserve">upper-left</w:t>
      </w:r>
      <w:r>
        <w:t xml:space="preserve"> </w:t>
      </w:r>
      <w:r>
        <w:t xml:space="preserve">area of the plot, meaning it achieves a higher order completion rate with lower energy consumption.</w:t>
      </w:r>
    </w:p>
    <w:p>
      <w:pPr>
        <w:pStyle w:val="BodyText"/>
      </w:pPr>
      <w:r>
        <w:rPr>
          <w:b/>
          <w:bCs/>
        </w:rPr>
        <w:t xml:space="preserve">Figure 4.3.1: Energy-Efficiency Trade-off Analysis of Controllers</w:t>
      </w:r>
      <w:r>
        <w:t xml:space="preserve"> </w:t>
      </w:r>
      <w:r>
        <w:rPr>
          <w:i/>
          <w:iCs/>
        </w:rPr>
        <w:t xml:space="preserve">【Note: Please insert the</w:t>
      </w:r>
      <w:r>
        <w:rPr>
          <w:i/>
          <w:iCs/>
        </w:rPr>
        <w:t xml:space="preserve"> </w:t>
      </w:r>
      <w:r>
        <w:rPr>
          <w:rStyle w:val="VerbatimChar"/>
          <w:rFonts w:hint="eastAsia"/>
          <w:i/>
          <w:iCs/>
        </w:rPr>
        <w:t xml:space="preserve">最新驗證數據/analysis_results_new/fig_4_3_1_tradeoff_plot.png</w:t>
      </w:r>
      <w:r>
        <w:rPr>
          <w:i/>
          <w:iCs/>
        </w:rPr>
        <w:t xml:space="preserve"> </w:t>
      </w:r>
      <w:r>
        <w:rPr>
          <w:i/>
          <w:iCs/>
        </w:rPr>
        <w:t xml:space="preserve">image file here.】</w:t>
      </w:r>
    </w:p>
    <w:p>
      <w:pPr>
        <w:pStyle w:val="BodyText"/>
      </w:pPr>
      <w:r>
        <w:t xml:space="preserve">This plot clearly divides all controllers into three distinct strategy clusters and reveals several key insights:</w:t>
      </w:r>
    </w:p>
    <w:p>
      <w:pPr>
        <w:numPr>
          <w:ilvl w:val="0"/>
          <w:numId w:val="1001"/>
        </w:numPr>
      </w:pPr>
      <w:r>
        <w:rPr>
          <w:b/>
          <w:bCs/>
        </w:rPr>
        <w:t xml:space="preserve">Universality of Strategy Trade-offs</w:t>
      </w:r>
      <w:r>
        <w:t xml:space="preserve">: The plot shows no</w:t>
      </w:r>
      <w:r>
        <w:t xml:space="preserve"> </w:t>
      </w:r>
      <w:r>
        <w:t xml:space="preserve">“perfect”</w:t>
      </w:r>
      <w:r>
        <w:t xml:space="preserve"> </w:t>
      </w:r>
      <w:r>
        <w:t xml:space="preserve">controller that can dominate both dimensions simultaneously. All strategies make a trade-off between</w:t>
      </w:r>
      <w:r>
        <w:t xml:space="preserve"> </w:t>
      </w:r>
      <w:r>
        <w:t xml:space="preserve">“high throughput”</w:t>
      </w:r>
      <w:r>
        <w:t xml:space="preserve"> </w:t>
      </w:r>
      <w:r>
        <w:t xml:space="preserve">and</w:t>
      </w:r>
      <w:r>
        <w:t xml:space="preserve"> </w:t>
      </w:r>
      <w:r>
        <w:t xml:space="preserve">“low energy consumption,”</w:t>
      </w:r>
      <w:r>
        <w:t xml:space="preserve"> </w:t>
      </w:r>
      <w:r>
        <w:t xml:space="preserve">proving that RMFS traffic control is inherently a complex multi-objective optimization problem.</w:t>
      </w:r>
    </w:p>
    <w:p>
      <w:pPr>
        <w:numPr>
          <w:ilvl w:val="0"/>
          <w:numId w:val="1001"/>
        </w:numPr>
      </w:pPr>
      <w:r>
        <w:rPr>
          <w:b/>
          <w:bCs/>
        </w:rPr>
        <w:t xml:space="preserve">Cluster 1:</w:t>
      </w:r>
      <w:r>
        <w:rPr>
          <w:b/>
          <w:bCs/>
        </w:rPr>
        <w:t xml:space="preserve"> </w:t>
      </w:r>
      <w:r>
        <w:rPr>
          <w:b/>
          <w:bCs/>
        </w:rPr>
        <w:t xml:space="preserve">“High-Throughput”</w:t>
      </w:r>
      <w:r>
        <w:rPr>
          <w:b/>
          <w:bCs/>
        </w:rPr>
        <w:t xml:space="preserve"> </w:t>
      </w:r>
      <w:r>
        <w:rPr>
          <w:b/>
          <w:bCs/>
        </w:rPr>
        <w:t xml:space="preserve">Strategies with High Output and High Energy Consumption</w:t>
      </w:r>
      <w:r>
        <w:t xml:space="preserve">:</w:t>
      </w:r>
    </w:p>
    <w:p>
      <w:pPr>
        <w:pStyle w:val="Compact"/>
        <w:numPr>
          <w:ilvl w:val="1"/>
          <w:numId w:val="1002"/>
        </w:numPr>
      </w:pPr>
      <w:r>
        <w:rPr>
          <w:b/>
          <w:bCs/>
        </w:rPr>
        <w:t xml:space="preserve">Representatives</w:t>
      </w:r>
      <w:r>
        <w:t xml:space="preserve">:</w:t>
      </w:r>
      <w:r>
        <w:t xml:space="preserve"> </w:t>
      </w:r>
      <w:r>
        <w:rPr>
          <w:rStyle w:val="VerbatimChar"/>
        </w:rPr>
        <w:t xml:space="preserve">Baseline-N</w:t>
      </w:r>
      <w:r>
        <w:t xml:space="preserve">,</w:t>
      </w:r>
      <w:r>
        <w:t xml:space="preserve"> </w:t>
      </w:r>
      <w:r>
        <w:rPr>
          <w:rStyle w:val="VerbatimChar"/>
        </w:rPr>
        <w:t xml:space="preserve">DQN-S</w:t>
      </w:r>
    </w:p>
    <w:p>
      <w:pPr>
        <w:pStyle w:val="Compact"/>
        <w:numPr>
          <w:ilvl w:val="1"/>
          <w:numId w:val="1002"/>
        </w:numPr>
      </w:pPr>
      <w:r>
        <w:rPr>
          <w:b/>
          <w:bCs/>
        </w:rPr>
        <w:t xml:space="preserve">Characteristics</w:t>
      </w:r>
      <w:r>
        <w:t xml:space="preserve">: Located in the</w:t>
      </w:r>
      <w:r>
        <w:t xml:space="preserve"> </w:t>
      </w:r>
      <w:r>
        <w:rPr>
          <w:b/>
          <w:bCs/>
        </w:rPr>
        <w:t xml:space="preserve">upper-right corner</w:t>
      </w:r>
      <w:r>
        <w:t xml:space="preserve"> </w:t>
      </w:r>
      <w:r>
        <w:t xml:space="preserve">of the chart, they boast the highest order completion rates but are extremely energy-inefficient.</w:t>
      </w:r>
    </w:p>
    <w:p>
      <w:pPr>
        <w:pStyle w:val="Compact"/>
        <w:numPr>
          <w:ilvl w:val="1"/>
          <w:numId w:val="1002"/>
        </w:numPr>
      </w:pPr>
      <w:r>
        <w:rPr>
          <w:b/>
          <w:bCs/>
        </w:rPr>
        <w:t xml:space="preserve">Interpretation</w:t>
      </w:r>
      <w:r>
        <w:t xml:space="preserve">: These strategies tend to complete orders</w:t>
      </w:r>
      <w:r>
        <w:t xml:space="preserve"> </w:t>
      </w:r>
      <w:r>
        <w:t xml:space="preserve">“at any cost,”</w:t>
      </w:r>
      <w:r>
        <w:t xml:space="preserve"> </w:t>
      </w:r>
      <w:r>
        <w:t xml:space="preserve">potentially leading to frequent acceleration/deceleration and path conflicts. While throughput is high, the operating costs and hardware wear and tear could be the most significant in a real-world setting.</w:t>
      </w:r>
    </w:p>
    <w:p>
      <w:pPr>
        <w:numPr>
          <w:ilvl w:val="0"/>
          <w:numId w:val="1001"/>
        </w:numPr>
      </w:pPr>
      <w:r>
        <w:rPr>
          <w:b/>
          <w:bCs/>
        </w:rPr>
        <w:t xml:space="preserve">Cluster 2:</w:t>
      </w:r>
      <w:r>
        <w:rPr>
          <w:b/>
          <w:bCs/>
        </w:rPr>
        <w:t xml:space="preserve"> </w:t>
      </w:r>
      <w:r>
        <w:rPr>
          <w:b/>
          <w:bCs/>
        </w:rPr>
        <w:t xml:space="preserve">“Traditional Trade-off”</w:t>
      </w:r>
      <w:r>
        <w:rPr>
          <w:b/>
          <w:bCs/>
        </w:rPr>
        <w:t xml:space="preserve"> </w:t>
      </w:r>
      <w:r>
        <w:rPr>
          <w:b/>
          <w:bCs/>
        </w:rPr>
        <w:t xml:space="preserve">Strategies with Medium Throughput and Medium Energy Consumption</w:t>
      </w:r>
      <w:r>
        <w:t xml:space="preserve">:</w:t>
      </w:r>
    </w:p>
    <w:p>
      <w:pPr>
        <w:pStyle w:val="Compact"/>
        <w:numPr>
          <w:ilvl w:val="1"/>
          <w:numId w:val="1003"/>
        </w:numPr>
      </w:pPr>
      <w:r>
        <w:rPr>
          <w:b/>
          <w:bCs/>
        </w:rPr>
        <w:t xml:space="preserve">Representatives</w:t>
      </w:r>
      <w:r>
        <w:t xml:space="preserve">:</w:t>
      </w:r>
      <w:r>
        <w:t xml:space="preserve"> </w:t>
      </w:r>
      <w:r>
        <w:rPr>
          <w:rStyle w:val="VerbatimChar"/>
        </w:rPr>
        <w:t xml:space="preserve">Baseline-Q</w:t>
      </w:r>
      <w:r>
        <w:t xml:space="preserve">,</w:t>
      </w:r>
      <w:r>
        <w:t xml:space="preserve"> </w:t>
      </w:r>
      <w:r>
        <w:rPr>
          <w:rStyle w:val="VerbatimChar"/>
        </w:rPr>
        <w:t xml:space="preserve">Baseline-T</w:t>
      </w:r>
      <w:r>
        <w:t xml:space="preserve">,</w:t>
      </w:r>
      <w:r>
        <w:t xml:space="preserve"> </w:t>
      </w:r>
      <w:r>
        <w:rPr>
          <w:rStyle w:val="VerbatimChar"/>
        </w:rPr>
        <w:t xml:space="preserve">DQN-G</w:t>
      </w:r>
    </w:p>
    <w:p>
      <w:pPr>
        <w:pStyle w:val="Compact"/>
        <w:numPr>
          <w:ilvl w:val="1"/>
          <w:numId w:val="1003"/>
        </w:numPr>
      </w:pPr>
      <w:r>
        <w:rPr>
          <w:b/>
          <w:bCs/>
        </w:rPr>
        <w:t xml:space="preserve">Characteristics</w:t>
      </w:r>
      <w:r>
        <w:t xml:space="preserve">: Located in the</w:t>
      </w:r>
      <w:r>
        <w:t xml:space="preserve"> </w:t>
      </w:r>
      <w:r>
        <w:rPr>
          <w:b/>
          <w:bCs/>
        </w:rPr>
        <w:t xml:space="preserve">middle area</w:t>
      </w:r>
      <w:r>
        <w:t xml:space="preserve"> </w:t>
      </w:r>
      <w:r>
        <w:t xml:space="preserve">of the chart, they achieve a certain balance between throughput and energy consumption.</w:t>
      </w:r>
    </w:p>
    <w:p>
      <w:pPr>
        <w:pStyle w:val="Compact"/>
        <w:numPr>
          <w:ilvl w:val="1"/>
          <w:numId w:val="1003"/>
        </w:numPr>
      </w:pPr>
      <w:r>
        <w:rPr>
          <w:b/>
          <w:bCs/>
        </w:rPr>
        <w:t xml:space="preserve">Interpretation</w:t>
      </w:r>
      <w:r>
        <w:t xml:space="preserve">: These are</w:t>
      </w:r>
      <w:r>
        <w:t xml:space="preserve"> </w:t>
      </w:r>
      <w:r>
        <w:t xml:space="preserve">“robust”</w:t>
      </w:r>
      <w:r>
        <w:t xml:space="preserve"> </w:t>
      </w:r>
      <w:r>
        <w:t xml:space="preserve">strategies in the traditional sense, but their performance is confined to an inherent trade-off curve, failing to achieve a breakthrough.</w:t>
      </w:r>
    </w:p>
    <w:p>
      <w:pPr>
        <w:numPr>
          <w:ilvl w:val="0"/>
          <w:numId w:val="1001"/>
        </w:numPr>
      </w:pPr>
      <w:r>
        <w:rPr>
          <w:b/>
          <w:bCs/>
        </w:rPr>
        <w:t xml:space="preserve">Cluster 3:</w:t>
      </w:r>
      <w:r>
        <w:rPr>
          <w:b/>
          <w:bCs/>
        </w:rPr>
        <w:t xml:space="preserve"> </w:t>
      </w:r>
      <w:r>
        <w:rPr>
          <w:b/>
          <w:bCs/>
        </w:rPr>
        <w:t xml:space="preserve">“Smart Energy-Saving”</w:t>
      </w:r>
      <w:r>
        <w:rPr>
          <w:b/>
          <w:bCs/>
        </w:rPr>
        <w:t xml:space="preserve"> </w:t>
      </w:r>
      <w:r>
        <w:rPr>
          <w:b/>
          <w:bCs/>
        </w:rPr>
        <w:t xml:space="preserve">Strategies with High Energy Efficiency</w:t>
      </w:r>
      <w:r>
        <w:t xml:space="preserve">:</w:t>
      </w:r>
    </w:p>
    <w:p>
      <w:pPr>
        <w:pStyle w:val="Compact"/>
        <w:numPr>
          <w:ilvl w:val="1"/>
          <w:numId w:val="1004"/>
        </w:numPr>
      </w:pPr>
      <w:r>
        <w:rPr>
          <w:b/>
          <w:bCs/>
        </w:rPr>
        <w:t xml:space="preserve">Representatives</w:t>
      </w:r>
      <w:r>
        <w:t xml:space="preserve">:</w:t>
      </w:r>
      <w:r>
        <w:t xml:space="preserve"> </w:t>
      </w:r>
      <w:r>
        <w:rPr>
          <w:b/>
          <w:bCs/>
        </w:rPr>
        <w:t xml:space="preserve">The NERL method adopted in this study</w:t>
      </w:r>
      <w:r>
        <w:t xml:space="preserve"> </w:t>
      </w:r>
      <w:r>
        <w:t xml:space="preserve">(especially</w:t>
      </w:r>
      <w:r>
        <w:t xml:space="preserve"> </w:t>
      </w:r>
      <w:r>
        <w:rPr>
          <w:rStyle w:val="VerbatimChar"/>
        </w:rPr>
        <w:t xml:space="preserve">NERL-G-A8</w:t>
      </w:r>
      <w:r>
        <w:t xml:space="preserve"> </w:t>
      </w:r>
      <w:r>
        <w:t xml:space="preserve">and</w:t>
      </w:r>
      <w:r>
        <w:t xml:space="preserve"> </w:t>
      </w:r>
      <w:r>
        <w:rPr>
          <w:rStyle w:val="VerbatimChar"/>
        </w:rPr>
        <w:t xml:space="preserve">NERL-S-A3</w:t>
      </w:r>
      <w:r>
        <w:t xml:space="preserve">)</w:t>
      </w:r>
    </w:p>
    <w:p>
      <w:pPr>
        <w:pStyle w:val="Compact"/>
        <w:numPr>
          <w:ilvl w:val="1"/>
          <w:numId w:val="1004"/>
        </w:numPr>
      </w:pPr>
      <w:r>
        <w:rPr>
          <w:b/>
          <w:bCs/>
        </w:rPr>
        <w:t xml:space="preserve">Characteristics</w:t>
      </w:r>
      <w:r>
        <w:t xml:space="preserve">: Concentrated on the</w:t>
      </w:r>
      <w:r>
        <w:t xml:space="preserve"> </w:t>
      </w:r>
      <w:r>
        <w:rPr>
          <w:b/>
          <w:bCs/>
        </w:rPr>
        <w:t xml:space="preserve">left side</w:t>
      </w:r>
      <w:r>
        <w:t xml:space="preserve"> </w:t>
      </w:r>
      <w:r>
        <w:t xml:space="preserve">of the chart, forming a zone with superior energy efficiency performance.</w:t>
      </w:r>
    </w:p>
    <w:p>
      <w:pPr>
        <w:pStyle w:val="Compact"/>
        <w:numPr>
          <w:ilvl w:val="1"/>
          <w:numId w:val="1004"/>
        </w:numPr>
      </w:pPr>
      <w:r>
        <w:rPr>
          <w:b/>
          <w:bCs/>
        </w:rPr>
        <w:t xml:space="preserve">Interpretation</w:t>
      </w:r>
      <w:r>
        <w:t xml:space="preserve">: NERL has learned an intelligent coordination strategy different from traditional methods. They experience a slight decrease in order completion rate but achieve significant improvements in energy efficiency.</w:t>
      </w:r>
    </w:p>
    <w:p>
      <w:pPr>
        <w:pStyle w:val="FirstParagraph"/>
      </w:pPr>
      <w:r>
        <w:t xml:space="preserve">To quantify NERL’s performance in energy efficiency, Table 4.3.2 provides a direct comparison between the more energy-efficient NERL models and the baseline model with the highest throughput.</w:t>
      </w:r>
    </w:p>
    <w:p>
      <w:pPr>
        <w:pStyle w:val="TableCaption"/>
      </w:pPr>
      <w:r>
        <w:t xml:space="preserve">Comparison of Key Metrics for Energy-Efficient vs. Brute-Force Strategies</w:t>
      </w:r>
    </w:p>
    <w:tbl>
      <w:tblPr>
        <w:tblStyle w:val="Table"/>
        <w:tblW w:type="pct" w:w="5000"/>
        <w:tblLayout w:type="fixed"/>
        <w:tblLook w:firstRow="1" w:lastRow="0" w:firstColumn="0" w:lastColumn="0" w:noHBand="0" w:noVBand="0" w:val="0020"/>
        <w:tblCaption w:val="Comparison of Key Metrics for Energy-Efficient vs. Brute-Force Strategies"/>
      </w:tblPr>
      <w:tblGrid>
        <w:gridCol w:w="1980"/>
        <w:gridCol w:w="1980"/>
        <w:gridCol w:w="1980"/>
        <w:gridCol w:w="1980"/>
      </w:tblGrid>
      <w:tr>
        <w:trPr>
          <w:tblHeader w:val="on"/>
        </w:trPr>
        <w:tc>
          <w:tcPr/>
          <w:p>
            <w:pPr>
              <w:pStyle w:val="Compact"/>
              <w:jc w:val="left"/>
            </w:pPr>
            <w:r>
              <w:t xml:space="preserve">Controller Model</w:t>
            </w:r>
          </w:p>
        </w:tc>
        <w:tc>
          <w:tcPr/>
          <w:p>
            <w:pPr>
              <w:pStyle w:val="Compact"/>
              <w:jc w:val="left"/>
            </w:pPr>
            <w:r>
              <w:t xml:space="preserve">Average Completion Rate</w:t>
            </w:r>
          </w:p>
        </w:tc>
        <w:tc>
          <w:tcPr/>
          <w:p>
            <w:pPr>
              <w:pStyle w:val="Compact"/>
              <w:jc w:val="left"/>
            </w:pPr>
            <w:r>
              <w:t xml:space="preserve">Average Energy per Order (EU)</w:t>
            </w:r>
          </w:p>
        </w:tc>
        <w:tc>
          <w:tcPr/>
          <w:p>
            <w:pPr>
              <w:pStyle w:val="Compact"/>
              <w:jc w:val="left"/>
            </w:pPr>
            <w:r>
              <w:t xml:space="preserve">Relative Energy Saving Performance</w:t>
            </w:r>
          </w:p>
        </w:tc>
      </w:tr>
      <w:tr>
        <w:tc>
          <w:tcPr/>
          <w:p>
            <w:pPr>
              <w:pStyle w:val="Compact"/>
              <w:jc w:val="left"/>
            </w:pPr>
            <w:r>
              <w:rPr>
                <w:rStyle w:val="VerbatimChar"/>
              </w:rPr>
              <w:t xml:space="preserve">NERL-G-A8</w:t>
            </w:r>
            <w:r>
              <w:t xml:space="preserve"> </w:t>
            </w:r>
            <w:r>
              <w:t xml:space="preserve">(Smart Energy-Saving)</w:t>
            </w:r>
          </w:p>
        </w:tc>
        <w:tc>
          <w:tcPr/>
          <w:p>
            <w:pPr>
              <w:pStyle w:val="Compact"/>
              <w:jc w:val="left"/>
            </w:pPr>
            <w:r>
              <w:t xml:space="preserve">84.3%</w:t>
            </w:r>
          </w:p>
        </w:tc>
        <w:tc>
          <w:tcPr/>
          <w:p>
            <w:pPr>
              <w:pStyle w:val="Compact"/>
              <w:jc w:val="left"/>
            </w:pPr>
            <w:r>
              <w:rPr>
                <w:b/>
                <w:bCs/>
              </w:rPr>
              <w:t xml:space="preserve">117.8</w:t>
            </w:r>
          </w:p>
        </w:tc>
        <w:tc>
          <w:tcPr/>
          <w:p>
            <w:pPr>
              <w:pStyle w:val="Compact"/>
              <w:jc w:val="left"/>
            </w:pPr>
            <w:r>
              <w:t xml:space="preserve">-</w:t>
            </w:r>
          </w:p>
        </w:tc>
      </w:tr>
      <w:tr>
        <w:tc>
          <w:tcPr/>
          <w:p>
            <w:pPr>
              <w:pStyle w:val="Compact"/>
              <w:jc w:val="left"/>
            </w:pPr>
            <w:r>
              <w:rPr>
                <w:rStyle w:val="VerbatimChar"/>
              </w:rPr>
              <w:t xml:space="preserve">Baseline-N</w:t>
            </w:r>
            <w:r>
              <w:t xml:space="preserve"> </w:t>
            </w:r>
            <w:r>
              <w:t xml:space="preserve">(Brute-Force)</w:t>
            </w:r>
          </w:p>
        </w:tc>
        <w:tc>
          <w:tcPr/>
          <w:p>
            <w:pPr>
              <w:pStyle w:val="Compact"/>
              <w:jc w:val="left"/>
            </w:pPr>
            <w:r>
              <w:t xml:space="preserve">88.8%</w:t>
            </w:r>
          </w:p>
        </w:tc>
        <w:tc>
          <w:tcPr/>
          <w:p>
            <w:pPr>
              <w:pStyle w:val="Compact"/>
              <w:jc w:val="left"/>
            </w:pPr>
            <w:r>
              <w:rPr>
                <w:b/>
                <w:bCs/>
              </w:rPr>
              <w:t xml:space="preserve">180.1</w:t>
            </w:r>
          </w:p>
        </w:tc>
        <w:tc>
          <w:tcPr/>
          <w:p>
            <w:pPr>
              <w:pStyle w:val="Compact"/>
              <w:jc w:val="left"/>
            </w:pPr>
            <w:r>
              <w:rPr>
                <w:b/>
                <w:bCs/>
              </w:rPr>
              <w:t xml:space="preserve">34.6% savings</w:t>
            </w:r>
          </w:p>
        </w:tc>
      </w:tr>
    </w:tbl>
    <w:p>
      <w:pPr>
        <w:pStyle w:val="BodyText"/>
      </w:pPr>
      <w:r>
        <w:t xml:space="preserve">The data comparison is quite significant: the</w:t>
      </w:r>
      <w:r>
        <w:t xml:space="preserve"> </w:t>
      </w:r>
      <w:r>
        <w:rPr>
          <w:rStyle w:val="VerbatimChar"/>
        </w:rPr>
        <w:t xml:space="preserve">NERL-G-A8</w:t>
      </w:r>
      <w:r>
        <w:t xml:space="preserve"> </w:t>
      </w:r>
      <w:r>
        <w:t xml:space="preserve">model achieves a</w:t>
      </w:r>
      <w:r>
        <w:t xml:space="preserve"> </w:t>
      </w:r>
      <w:r>
        <w:rPr>
          <w:b/>
          <w:bCs/>
        </w:rPr>
        <w:t xml:space="preserve">34.6%</w:t>
      </w:r>
      <w:r>
        <w:t xml:space="preserve"> </w:t>
      </w:r>
      <w:r>
        <w:t xml:space="preserve">energy saving at the cost of about a 4.5 percentage point reduction in order completion rate. This result, to some extent, demonstrates the potential of the NERL strategy to break the traditional</w:t>
      </w:r>
      <w:r>
        <w:t xml:space="preserve"> </w:t>
      </w:r>
      <w:r>
        <w:t xml:space="preserve">“throughput-energy”</w:t>
      </w:r>
      <w:r>
        <w:t xml:space="preserve"> </w:t>
      </w:r>
      <w:r>
        <w:t xml:space="preserve">trade-off by using smarter traffic coordination, potentially optimizing the operating costs of the warehousing system without significantly impacting throughput.</w:t>
      </w:r>
    </w:p>
    <w:p>
      <w:pPr>
        <w:pStyle w:val="BodyText"/>
      </w:pPr>
      <w:r>
        <w:t xml:space="preserve">It is worth noting that, as defined in Section</w:t>
      </w:r>
      <w:r>
        <w:t xml:space="preserve"> </w:t>
      </w:r>
      <w:r>
        <w:rPr>
          <w:rStyle w:val="VerbatimChar"/>
        </w:rPr>
        <w:t xml:space="preserve">3.2.4</w:t>
      </w:r>
      <w:r>
        <w:t xml:space="preserve">, total energy consumption is highly correlated with two key micro-behaviors:</w:t>
      </w:r>
      <w:r>
        <w:t xml:space="preserve"> </w:t>
      </w:r>
      <w:r>
        <w:t xml:space="preserve">“total stop-start count”</w:t>
      </w:r>
      <w:r>
        <w:t xml:space="preserve"> </w:t>
      </w:r>
      <w:r>
        <w:t xml:space="preserve">and</w:t>
      </w:r>
      <w:r>
        <w:t xml:space="preserve"> </w:t>
      </w:r>
      <w:r>
        <w:t xml:space="preserve">“intersection waiting time.”</w:t>
      </w:r>
      <w:r>
        <w:t xml:space="preserve"> </w:t>
      </w:r>
      <w:r>
        <w:t xml:space="preserve">The significant reduction in total energy consumption by the</w:t>
      </w:r>
      <w:r>
        <w:t xml:space="preserve"> </w:t>
      </w:r>
      <w:r>
        <w:rPr>
          <w:rStyle w:val="VerbatimChar"/>
        </w:rPr>
        <w:t xml:space="preserve">NERL-G-A8</w:t>
      </w:r>
      <w:r>
        <w:t xml:space="preserve"> </w:t>
      </w:r>
      <w:r>
        <w:t xml:space="preserve">model directly reflects that it has learned a smoother, more forward-looking traffic coordination model. This model effectively reduces robots’ ineffective waiting at intersections and frequent starts and stops caused by conflicts, thereby fundamentally reducing the system’s ineffective energy consumption.</w:t>
      </w:r>
    </w:p>
    <w:bookmarkEnd w:id="9"/>
    <w:bookmarkStart w:id="10" w:name="Xf02a51ad386ff2e5acc0cfbbc23e3760b267ecf"/>
    <w:p>
      <w:pPr>
        <w:pStyle w:val="Heading3"/>
      </w:pPr>
      <w:r>
        <w:t xml:space="preserve">4.3.2 Comparison of DRL and Baseline Controllers: Single-Point Optimization vs. Multi-Objective Trade-off</w:t>
      </w:r>
    </w:p>
    <w:p>
      <w:pPr>
        <w:pStyle w:val="FirstParagraph"/>
      </w:pPr>
      <w:r>
        <w:t xml:space="preserve">To compare controllers with different design philosophies from a higher level, we categorize all models into three major families:</w:t>
      </w:r>
      <w:r>
        <w:t xml:space="preserve"> </w:t>
      </w:r>
      <w:r>
        <w:t xml:space="preserve">“Baseline,”</w:t>
      </w:r>
      <w:r>
        <w:t xml:space="preserve"> </w:t>
      </w:r>
      <w:r>
        <w:t xml:space="preserve">“DQN (Deep Q-Network),”</w:t>
      </w:r>
      <w:r>
        <w:t xml:space="preserve"> </w:t>
      </w:r>
      <w:r>
        <w:t xml:space="preserve">and</w:t>
      </w:r>
      <w:r>
        <w:t xml:space="preserve"> </w:t>
      </w:r>
      <w:r>
        <w:t xml:space="preserve">“NERL (Neuroevolutionary Reinforcement Learning).”</w:t>
      </w:r>
      <w:r>
        <w:t xml:space="preserve"> </w:t>
      </w:r>
      <w:r>
        <w:t xml:space="preserve">Figure 4.3.2 visually compares the data distribution of these three families in terms of order completion rate.</w:t>
      </w:r>
    </w:p>
    <w:p>
      <w:pPr>
        <w:pStyle w:val="BodyText"/>
      </w:pPr>
      <w:r>
        <w:rPr>
          <w:b/>
          <w:bCs/>
        </w:rPr>
        <w:t xml:space="preserve">Figure 4.3.2: Comparison of Order Completion Rates by Controller Category</w:t>
      </w:r>
      <w:r>
        <w:t xml:space="preserve"> </w:t>
      </w:r>
      <w:r>
        <w:rPr>
          <w:i/>
          <w:iCs/>
        </w:rPr>
        <w:t xml:space="preserve">【Note: Please insert the</w:t>
      </w:r>
      <w:r>
        <w:rPr>
          <w:i/>
          <w:iCs/>
        </w:rPr>
        <w:t xml:space="preserve"> </w:t>
      </w:r>
      <w:r>
        <w:rPr>
          <w:rStyle w:val="VerbatimChar"/>
          <w:rFonts w:hint="eastAsia"/>
          <w:i/>
          <w:iCs/>
        </w:rPr>
        <w:t xml:space="preserve">最新驗證數據/analysis_results_new/fig_4_3_2_drl_vs_baseline.png</w:t>
      </w:r>
      <w:r>
        <w:rPr>
          <w:i/>
          <w:iCs/>
        </w:rPr>
        <w:t xml:space="preserve"> </w:t>
      </w:r>
      <w:r>
        <w:rPr>
          <w:i/>
          <w:iCs/>
        </w:rPr>
        <w:t xml:space="preserve">image file here.】</w:t>
      </w:r>
    </w:p>
    <w:p>
      <w:pPr>
        <w:pStyle w:val="BodyText"/>
      </w:pPr>
      <w:r>
        <w:t xml:space="preserve">From this figure alone, it seems that the throughput performance of all controller families is comparable. In fact, the single model with the highest throughput,</w:t>
      </w:r>
      <w:r>
        <w:t xml:space="preserve"> </w:t>
      </w:r>
      <w:r>
        <w:rPr>
          <w:rStyle w:val="VerbatimChar"/>
        </w:rPr>
        <w:t xml:space="preserve">Baseline-N</w:t>
      </w:r>
      <w:r>
        <w:t xml:space="preserve"> </w:t>
      </w:r>
      <w:r>
        <w:t xml:space="preserve">(88.8%), comes from the baseline family. However, this single-dimensional comparison may obscure a deeper truth.</w:t>
      </w:r>
    </w:p>
    <w:p>
      <w:pPr>
        <w:pStyle w:val="BodyText"/>
      </w:pPr>
      <w:r>
        <w:t xml:space="preserve">A key feature of DRL methods is not always to surpass traditional methods on a single metric, but their ability to handle</w:t>
      </w:r>
      <w:r>
        <w:t xml:space="preserve"> </w:t>
      </w:r>
      <w:r>
        <w:rPr>
          <w:b/>
          <w:bCs/>
        </w:rPr>
        <w:t xml:space="preserve">multi-objective trade-offs</w:t>
      </w:r>
      <w:r>
        <w:t xml:space="preserve">. Table 4.3.3 outlines the strategy profiles of the three families more completely from the two dimensions of</w:t>
      </w:r>
      <w:r>
        <w:t xml:space="preserve"> </w:t>
      </w:r>
      <w:r>
        <w:t xml:space="preserve">“throughput”</w:t>
      </w:r>
      <w:r>
        <w:t xml:space="preserve"> </w:t>
      </w:r>
      <w:r>
        <w:t xml:space="preserve">and</w:t>
      </w:r>
      <w:r>
        <w:t xml:space="preserve"> </w:t>
      </w:r>
      <w:r>
        <w:t xml:space="preserve">“energy consumption.”</w:t>
      </w:r>
    </w:p>
    <w:p>
      <w:pPr>
        <w:pStyle w:val="TableCaption"/>
      </w:pPr>
      <w:r>
        <w:t xml:space="preserve">Comparison of Strategy Characteristics of the Three Controller Families</w:t>
      </w:r>
    </w:p>
    <w:tbl>
      <w:tblPr>
        <w:tblStyle w:val="Table"/>
        <w:tblW w:type="pct" w:w="5000"/>
        <w:tblLayout w:type="fixed"/>
        <w:tblLook w:firstRow="1" w:lastRow="0" w:firstColumn="0" w:lastColumn="0" w:noHBand="0" w:noVBand="0" w:val="0020"/>
        <w:tblCaption w:val="Comparison of Strategy Characteristics of the Three Controller Families"/>
      </w:tblPr>
      <w:tblGrid>
        <w:gridCol w:w="1980"/>
        <w:gridCol w:w="1980"/>
        <w:gridCol w:w="1980"/>
        <w:gridCol w:w="1980"/>
      </w:tblGrid>
      <w:tr>
        <w:trPr>
          <w:tblHeader w:val="on"/>
        </w:trPr>
        <w:tc>
          <w:tcPr/>
          <w:p>
            <w:pPr>
              <w:pStyle w:val="Compact"/>
              <w:jc w:val="left"/>
            </w:pPr>
            <w:r>
              <w:t xml:space="preserve">Controller Family</w:t>
            </w:r>
          </w:p>
        </w:tc>
        <w:tc>
          <w:tcPr/>
          <w:p>
            <w:pPr>
              <w:pStyle w:val="Compact"/>
              <w:jc w:val="left"/>
            </w:pPr>
            <w:r>
              <w:t xml:space="preserve">Average Completion Rate (Throughput)</w:t>
            </w:r>
          </w:p>
        </w:tc>
        <w:tc>
          <w:tcPr/>
          <w:p>
            <w:pPr>
              <w:pStyle w:val="Compact"/>
              <w:jc w:val="left"/>
            </w:pPr>
            <w:r>
              <w:t xml:space="preserve">Average Energy per Order (Cost)</w:t>
            </w:r>
          </w:p>
        </w:tc>
        <w:tc>
          <w:tcPr/>
          <w:p>
            <w:pPr>
              <w:pStyle w:val="Compact"/>
              <w:jc w:val="left"/>
            </w:pPr>
            <w:r>
              <w:t xml:space="preserve">Strategy Core</w:t>
            </w:r>
          </w:p>
        </w:tc>
      </w:tr>
      <w:tr>
        <w:tc>
          <w:tcPr/>
          <w:p>
            <w:pPr>
              <w:pStyle w:val="Compact"/>
              <w:jc w:val="left"/>
            </w:pPr>
            <w:r>
              <w:rPr>
                <w:b/>
                <w:bCs/>
              </w:rPr>
              <w:t xml:space="preserve">Baseline</w:t>
            </w:r>
          </w:p>
        </w:tc>
        <w:tc>
          <w:tcPr/>
          <w:p>
            <w:pPr>
              <w:pStyle w:val="Compact"/>
              <w:jc w:val="left"/>
            </w:pPr>
            <w:r>
              <w:rPr>
                <w:b/>
                <w:bCs/>
              </w:rPr>
              <w:t xml:space="preserve">Highest (87.6%)</w:t>
            </w:r>
          </w:p>
        </w:tc>
        <w:tc>
          <w:tcPr/>
          <w:p>
            <w:pPr>
              <w:pStyle w:val="Compact"/>
              <w:jc w:val="left"/>
            </w:pPr>
            <w:r>
              <w:rPr>
                <w:b/>
                <w:bCs/>
              </w:rPr>
              <w:t xml:space="preserve">Highest (178.9 EU)</w:t>
            </w:r>
          </w:p>
        </w:tc>
        <w:tc>
          <w:tcPr/>
          <w:p>
            <w:pPr>
              <w:pStyle w:val="Compact"/>
              <w:jc w:val="left"/>
            </w:pPr>
            <w:r>
              <w:rPr>
                <w:b/>
                <w:bCs/>
              </w:rPr>
              <w:t xml:space="preserve">Single-Point Optimization</w:t>
            </w:r>
          </w:p>
        </w:tc>
      </w:tr>
      <w:tr>
        <w:tc>
          <w:tcPr/>
          <w:p>
            <w:pPr>
              <w:pStyle w:val="Compact"/>
              <w:jc w:val="left"/>
            </w:pPr>
            <w:r>
              <w:rPr>
                <w:b/>
                <w:bCs/>
              </w:rPr>
              <w:t xml:space="preserve">DQN</w:t>
            </w:r>
          </w:p>
        </w:tc>
        <w:tc>
          <w:tcPr/>
          <w:p>
            <w:pPr>
              <w:pStyle w:val="Compact"/>
              <w:jc w:val="left"/>
            </w:pPr>
            <w:r>
              <w:t xml:space="preserve">Second Highest (87.9%)</w:t>
            </w:r>
          </w:p>
        </w:tc>
        <w:tc>
          <w:tcPr/>
          <w:p>
            <w:pPr>
              <w:pStyle w:val="Compact"/>
              <w:jc w:val="left"/>
            </w:pPr>
            <w:r>
              <w:t xml:space="preserve">Very High (183.9 EU)</w:t>
            </w:r>
          </w:p>
        </w:tc>
        <w:tc>
          <w:tcPr/>
          <w:p>
            <w:pPr>
              <w:pStyle w:val="Compact"/>
              <w:jc w:val="left"/>
            </w:pPr>
            <w:r>
              <w:t xml:space="preserve">Learning a Single Objective</w:t>
            </w:r>
          </w:p>
        </w:tc>
      </w:tr>
      <w:tr>
        <w:tc>
          <w:tcPr/>
          <w:p>
            <w:pPr>
              <w:pStyle w:val="Compact"/>
              <w:jc w:val="left"/>
            </w:pPr>
            <w:r>
              <w:rPr>
                <w:b/>
                <w:bCs/>
              </w:rPr>
              <w:t xml:space="preserve">NERL (This Study)</w:t>
            </w:r>
          </w:p>
        </w:tc>
        <w:tc>
          <w:tcPr/>
          <w:p>
            <w:pPr>
              <w:pStyle w:val="Compact"/>
              <w:jc w:val="left"/>
            </w:pPr>
            <w:r>
              <w:t xml:space="preserve">Medium (85.9%)</w:t>
            </w:r>
          </w:p>
        </w:tc>
        <w:tc>
          <w:tcPr/>
          <w:p>
            <w:pPr>
              <w:pStyle w:val="Compact"/>
              <w:jc w:val="left"/>
            </w:pPr>
            <w:r>
              <w:rPr>
                <w:b/>
                <w:bCs/>
              </w:rPr>
              <w:t xml:space="preserve">Lowest (144.0 EU)</w:t>
            </w:r>
          </w:p>
        </w:tc>
        <w:tc>
          <w:tcPr/>
          <w:p>
            <w:pPr>
              <w:pStyle w:val="Compact"/>
              <w:jc w:val="left"/>
            </w:pPr>
            <w:r>
              <w:rPr>
                <w:b/>
                <w:bCs/>
              </w:rPr>
              <w:t xml:space="preserve">Trade-off and Exploration</w:t>
            </w:r>
          </w:p>
        </w:tc>
      </w:tr>
    </w:tbl>
    <w:p>
      <w:pPr>
        <w:pStyle w:val="BodyText"/>
      </w:pPr>
      <w:r>
        <w:t xml:space="preserve">The data in this table reveals a different perspective from Figure 4.3.2:</w:t>
      </w:r>
    </w:p>
    <w:p>
      <w:pPr>
        <w:numPr>
          <w:ilvl w:val="0"/>
          <w:numId w:val="1005"/>
        </w:numPr>
      </w:pPr>
      <w:r>
        <w:rPr>
          <w:b/>
          <w:bCs/>
        </w:rPr>
        <w:t xml:space="preserve">“Tunnel Vision”</w:t>
      </w:r>
      <w:r>
        <w:rPr>
          <w:b/>
          <w:bCs/>
        </w:rPr>
        <w:t xml:space="preserve"> </w:t>
      </w:r>
      <w:r>
        <w:rPr>
          <w:b/>
          <w:bCs/>
        </w:rPr>
        <w:t xml:space="preserve">of Baseline Strategies</w:t>
      </w:r>
      <w:r>
        <w:t xml:space="preserve">: Baseline controllers are typically designed to optimize a</w:t>
      </w:r>
      <w:r>
        <w:t xml:space="preserve"> </w:t>
      </w:r>
      <w:r>
        <w:rPr>
          <w:b/>
          <w:bCs/>
        </w:rPr>
        <w:t xml:space="preserve">single, clear objective</w:t>
      </w:r>
      <w:r>
        <w:t xml:space="preserve"> </w:t>
      </w:r>
      <w:r>
        <w:t xml:space="preserve">(e.g., minimum waiting or shortest path). They perform excellently on that objective, thus achieving the highest average completion rate. However, this design may cause them to ignore other important factors like energy consumption, making them</w:t>
      </w:r>
      <w:r>
        <w:t xml:space="preserve"> </w:t>
      </w:r>
      <w:r>
        <w:rPr>
          <w:b/>
          <w:bCs/>
        </w:rPr>
        <w:t xml:space="preserve">less energy-efficient</w:t>
      </w:r>
      <w:r>
        <w:t xml:space="preserve"> </w:t>
      </w:r>
      <w:r>
        <w:t xml:space="preserve">strategies.</w:t>
      </w:r>
    </w:p>
    <w:p>
      <w:pPr>
        <w:numPr>
          <w:ilvl w:val="0"/>
          <w:numId w:val="1005"/>
        </w:numPr>
      </w:pPr>
      <w:r>
        <w:rPr>
          <w:b/>
          <w:bCs/>
        </w:rPr>
        <w:t xml:space="preserve">Inheritance and Limitations of DQN</w:t>
      </w:r>
      <w:r>
        <w:t xml:space="preserve">: The standard DQN method essentially inherits this single-objective optimization logic, learning to maximize a reward function (usually related to throughput). Therefore, its performance is highly similar to that of baseline controllers: high throughput, and equally high energy consumption. This highlights the potential limitations of standard DRL methods in handling complex, multi-objective real-world problems.</w:t>
      </w:r>
    </w:p>
    <w:p>
      <w:pPr>
        <w:numPr>
          <w:ilvl w:val="0"/>
          <w:numId w:val="1005"/>
        </w:numPr>
      </w:pPr>
      <w:r>
        <w:rPr>
          <w:b/>
          <w:bCs/>
        </w:rPr>
        <w:t xml:space="preserve">The Hallmark of NERL: Seeking Different Strategy Trade-offs</w:t>
      </w:r>
      <w:r>
        <w:t xml:space="preserve">: What sets the NERL method apart is its ability to explore the policy space through evolutionary mechanisms and learn to</w:t>
      </w:r>
      <w:r>
        <w:t xml:space="preserve"> </w:t>
      </w:r>
      <w:r>
        <w:rPr>
          <w:b/>
          <w:bCs/>
        </w:rPr>
        <w:t xml:space="preserve">find different balance points between conflicting objectives (high throughput vs. low energy consumption)</w:t>
      </w:r>
      <w:r>
        <w:t xml:space="preserve">. The data reflects this: although the NERL family has a slightly lower average completion rate, its average energy consumption is</w:t>
      </w:r>
      <w:r>
        <w:t xml:space="preserve"> </w:t>
      </w:r>
      <w:r>
        <w:rPr>
          <w:b/>
          <w:bCs/>
        </w:rPr>
        <w:t xml:space="preserve">nearly 20% lower</w:t>
      </w:r>
      <w:r>
        <w:t xml:space="preserve"> </w:t>
      </w:r>
      <w:r>
        <w:t xml:space="preserve">than that of the baseline and DQN families.</w:t>
      </w:r>
    </w:p>
    <w:p>
      <w:pPr>
        <w:pStyle w:val="FirstParagraph"/>
      </w:pPr>
      <w:r>
        <w:t xml:space="preserve">In summary, if the sole goal is to maximize short-term throughput, simple baseline strategies are quite effective. But to build a warehousing system that balances performance and cost, NERL, which can trade-off between multiple objectives, offers a different, viable solution.</w:t>
      </w:r>
    </w:p>
    <w:bookmarkEnd w:id="10"/>
    <w:bookmarkStart w:id="11" w:name="X77dcd36ea5335bddcd000c04a0ed40a808186d7"/>
    <w:p>
      <w:pPr>
        <w:pStyle w:val="Heading3"/>
      </w:pPr>
      <w:r>
        <w:t xml:space="preserve">4.3.3 Analysis of NERL Controller Characteristics: How Reward Mechanisms Affect Strategy Traits</w:t>
      </w:r>
    </w:p>
    <w:p>
      <w:pPr>
        <w:pStyle w:val="FirstParagraph"/>
      </w:pPr>
      <w:r>
        <w:t xml:space="preserve">The previous section highlighted the overall performance of the NERL family in multi-objective trade-offs. This section aims to delve deeper into NERL to investigate how its core hyperparameters—especially</w:t>
      </w:r>
      <w:r>
        <w:t xml:space="preserve"> </w:t>
      </w:r>
      <w:r>
        <w:rPr>
          <w:rStyle w:val="VerbatimChar"/>
        </w:rPr>
        <w:t xml:space="preserve">Reward Type</w:t>
      </w:r>
      <w:r>
        <w:t xml:space="preserve">—shape a controller’s</w:t>
      </w:r>
      <w:r>
        <w:t xml:space="preserve"> </w:t>
      </w:r>
      <w:r>
        <w:t xml:space="preserve">“personality,”</w:t>
      </w:r>
      <w:r>
        <w:t xml:space="preserve"> </w:t>
      </w:r>
      <w:r>
        <w:t xml:space="preserve">causing it to make different value judgments between</w:t>
      </w:r>
      <w:r>
        <w:t xml:space="preserve"> </w:t>
      </w:r>
      <w:r>
        <w:t xml:space="preserve">“throughput”</w:t>
      </w:r>
      <w:r>
        <w:t xml:space="preserve"> </w:t>
      </w:r>
      <w:r>
        <w:t xml:space="preserve">and</w:t>
      </w:r>
      <w:r>
        <w:t xml:space="preserve"> </w:t>
      </w:r>
      <w:r>
        <w:t xml:space="preserve">“energy saving.”</w:t>
      </w:r>
    </w:p>
    <w:p>
      <w:pPr>
        <w:pStyle w:val="BodyText"/>
      </w:pPr>
      <w:r>
        <w:t xml:space="preserve">Figure 4.3.3 compares the performance of different NERL variants on order completion rate.</w:t>
      </w:r>
    </w:p>
    <w:p>
      <w:pPr>
        <w:pStyle w:val="BodyText"/>
      </w:pPr>
      <w:r>
        <w:rPr>
          <w:b/>
          <w:bCs/>
        </w:rPr>
        <w:t xml:space="preserve">Figure 4.3.3: Analysis of the Impact of NERL Hyperparameters on Completion Rate</w:t>
      </w:r>
      <w:r>
        <w:t xml:space="preserve"> </w:t>
      </w:r>
      <w:r>
        <w:rPr>
          <w:i/>
          <w:iCs/>
        </w:rPr>
        <w:t xml:space="preserve">【Note: Please insert the</w:t>
      </w:r>
      <w:r>
        <w:rPr>
          <w:i/>
          <w:iCs/>
        </w:rPr>
        <w:t xml:space="preserve"> </w:t>
      </w:r>
      <w:r>
        <w:rPr>
          <w:rStyle w:val="VerbatimChar"/>
          <w:rFonts w:hint="eastAsia"/>
          <w:i/>
          <w:iCs/>
        </w:rPr>
        <w:t xml:space="preserve">最新驗證數據/analysis_results_new/fig_4_3_3_nerl_comparison.png</w:t>
      </w:r>
      <w:r>
        <w:rPr>
          <w:i/>
          <w:iCs/>
        </w:rPr>
        <w:t xml:space="preserve"> </w:t>
      </w:r>
      <w:r>
        <w:rPr>
          <w:i/>
          <w:iCs/>
        </w:rPr>
        <w:t xml:space="preserve">image file here.】</w:t>
      </w:r>
    </w:p>
    <w:p>
      <w:pPr>
        <w:pStyle w:val="BodyText"/>
      </w:pPr>
      <w:r>
        <w:t xml:space="preserve">However, similar to the findings in Section</w:t>
      </w:r>
      <w:r>
        <w:t xml:space="preserve"> </w:t>
      </w:r>
      <w:r>
        <w:rPr>
          <w:rStyle w:val="VerbatimChar"/>
        </w:rPr>
        <w:t xml:space="preserve">4.3.2</w:t>
      </w:r>
      <w:r>
        <w:t xml:space="preserve">, merely comparing completion rates can be misleading. To more comprehensively understand the impact of different reward mechanisms, Table 4.3.4 divides NERL into two major camps,</w:t>
      </w:r>
      <w:r>
        <w:t xml:space="preserve"> </w:t>
      </w:r>
      <w:r>
        <w:t xml:space="preserve">“Global reward”</w:t>
      </w:r>
      <w:r>
        <w:t xml:space="preserve"> </w:t>
      </w:r>
      <w:r>
        <w:t xml:space="preserve">and</w:t>
      </w:r>
      <w:r>
        <w:t xml:space="preserve"> </w:t>
      </w:r>
      <w:r>
        <w:t xml:space="preserve">“Step reward,”</w:t>
      </w:r>
      <w:r>
        <w:t xml:space="preserve"> </w:t>
      </w:r>
      <w:r>
        <w:t xml:space="preserve">and compares their performance on both throughput and energy consumption dimensions.</w:t>
      </w:r>
    </w:p>
    <w:p>
      <w:pPr>
        <w:pStyle w:val="TableCaption"/>
      </w:pPr>
      <w:r>
        <w:t xml:space="preserve">The Impact of Global vs. Step Rewards on NERL Strategies</w:t>
      </w:r>
    </w:p>
    <w:tbl>
      <w:tblPr>
        <w:tblStyle w:val="Table"/>
        <w:tblW w:type="pct" w:w="5000"/>
        <w:tblLayout w:type="fixed"/>
        <w:tblLook w:firstRow="1" w:lastRow="0" w:firstColumn="0" w:lastColumn="0" w:noHBand="0" w:noVBand="0" w:val="0020"/>
        <w:tblCaption w:val="The Impact of Global vs. Step Rewards on NERL Strategies"/>
      </w:tblPr>
      <w:tblGrid>
        <w:gridCol w:w="1980"/>
        <w:gridCol w:w="1980"/>
        <w:gridCol w:w="1980"/>
        <w:gridCol w:w="1980"/>
      </w:tblGrid>
      <w:tr>
        <w:trPr>
          <w:tblHeader w:val="on"/>
        </w:trPr>
        <w:tc>
          <w:tcPr/>
          <w:p>
            <w:pPr>
              <w:pStyle w:val="Compact"/>
              <w:jc w:val="left"/>
            </w:pPr>
            <w:r>
              <w:t xml:space="preserve">Reward Camp</w:t>
            </w:r>
          </w:p>
        </w:tc>
        <w:tc>
          <w:tcPr/>
          <w:p>
            <w:pPr>
              <w:pStyle w:val="Compact"/>
              <w:jc w:val="left"/>
            </w:pPr>
            <w:r>
              <w:t xml:space="preserve">Average Completion Rate</w:t>
            </w:r>
          </w:p>
        </w:tc>
        <w:tc>
          <w:tcPr/>
          <w:p>
            <w:pPr>
              <w:pStyle w:val="Compact"/>
              <w:jc w:val="left"/>
            </w:pPr>
            <w:r>
              <w:t xml:space="preserve">Average Energy per Order (EU)</w:t>
            </w:r>
          </w:p>
        </w:tc>
        <w:tc>
          <w:tcPr/>
          <w:p>
            <w:pPr>
              <w:pStyle w:val="Compact"/>
              <w:jc w:val="left"/>
            </w:pPr>
            <w:r>
              <w:t xml:space="preserve">Strategy DNA Interpretation</w:t>
            </w:r>
          </w:p>
        </w:tc>
      </w:tr>
      <w:tr>
        <w:tc>
          <w:tcPr/>
          <w:p>
            <w:pPr>
              <w:pStyle w:val="Compact"/>
              <w:jc w:val="left"/>
            </w:pPr>
            <w:r>
              <w:rPr>
                <w:b/>
                <w:bCs/>
              </w:rPr>
              <w:t xml:space="preserve">Global Reward</w:t>
            </w:r>
          </w:p>
        </w:tc>
        <w:tc>
          <w:tcPr/>
          <w:p>
            <w:pPr>
              <w:pStyle w:val="Compact"/>
              <w:jc w:val="left"/>
            </w:pPr>
            <w:r>
              <w:t xml:space="preserve">86.0%</w:t>
            </w:r>
          </w:p>
        </w:tc>
        <w:tc>
          <w:tcPr/>
          <w:p>
            <w:pPr>
              <w:pStyle w:val="Compact"/>
              <w:jc w:val="left"/>
            </w:pPr>
            <w:r>
              <w:rPr>
                <w:b/>
                <w:bCs/>
              </w:rPr>
              <w:t xml:space="preserve">148.3 EU</w:t>
            </w:r>
          </w:p>
        </w:tc>
        <w:tc>
          <w:tcPr/>
          <w:p>
            <w:pPr>
              <w:pStyle w:val="Compact"/>
              <w:jc w:val="left"/>
            </w:pPr>
            <w:r>
              <w:rPr>
                <w:b/>
                <w:bCs/>
              </w:rPr>
              <w:t xml:space="preserve">Big-Picture Energy Saver</w:t>
            </w:r>
          </w:p>
        </w:tc>
      </w:tr>
      <w:tr>
        <w:tc>
          <w:tcPr/>
          <w:p>
            <w:pPr>
              <w:pStyle w:val="Compact"/>
              <w:jc w:val="left"/>
            </w:pPr>
            <w:r>
              <w:rPr>
                <w:b/>
                <w:bCs/>
              </w:rPr>
              <w:t xml:space="preserve">Step Reward</w:t>
            </w:r>
          </w:p>
        </w:tc>
        <w:tc>
          <w:tcPr/>
          <w:p>
            <w:pPr>
              <w:pStyle w:val="Compact"/>
              <w:jc w:val="left"/>
            </w:pPr>
            <w:r>
              <w:t xml:space="preserve">85.8%</w:t>
            </w:r>
          </w:p>
        </w:tc>
        <w:tc>
          <w:tcPr/>
          <w:p>
            <w:pPr>
              <w:pStyle w:val="Compact"/>
              <w:jc w:val="left"/>
            </w:pPr>
            <w:r>
              <w:rPr>
                <w:b/>
                <w:bCs/>
              </w:rPr>
              <w:t xml:space="preserve">139.6 EU</w:t>
            </w:r>
          </w:p>
        </w:tc>
        <w:tc>
          <w:tcPr/>
          <w:p>
            <w:pPr>
              <w:pStyle w:val="Compact"/>
              <w:jc w:val="left"/>
            </w:pPr>
            <w:r>
              <w:rPr>
                <w:b/>
                <w:bCs/>
              </w:rPr>
              <w:t xml:space="preserve">Opportunistic Efficiency Seeker</w:t>
            </w:r>
          </w:p>
        </w:tc>
      </w:tr>
    </w:tbl>
    <w:p>
      <w:pPr>
        <w:pStyle w:val="BodyText"/>
      </w:pPr>
      <w:r>
        <w:t xml:space="preserve">The data in this table, combined with Figure 4.3.3, reveals two main ways in which reward mechanisms influence strategy characteristics:</w:t>
      </w:r>
    </w:p>
    <w:p>
      <w:pPr>
        <w:pStyle w:val="Compact"/>
        <w:numPr>
          <w:ilvl w:val="0"/>
          <w:numId w:val="1006"/>
        </w:numPr>
      </w:pPr>
      <w:r>
        <w:rPr>
          <w:b/>
          <w:bCs/>
        </w:rPr>
        <w:t xml:space="preserve">Global Reward: Cultivating a</w:t>
      </w:r>
      <w:r>
        <w:rPr>
          <w:b/>
          <w:bCs/>
        </w:rPr>
        <w:t xml:space="preserve"> </w:t>
      </w:r>
      <w:r>
        <w:rPr>
          <w:b/>
          <w:bCs/>
        </w:rPr>
        <w:t xml:space="preserve">“Big-Picture View”</w:t>
      </w:r>
    </w:p>
    <w:p>
      <w:pPr>
        <w:pStyle w:val="Compact"/>
        <w:numPr>
          <w:ilvl w:val="1"/>
          <w:numId w:val="1007"/>
        </w:numPr>
      </w:pPr>
      <w:r>
        <w:rPr>
          <w:b/>
          <w:bCs/>
        </w:rPr>
        <w:t xml:space="preserve">Mechanism</w:t>
      </w:r>
      <w:r>
        <w:t xml:space="preserve">: As described in Section</w:t>
      </w:r>
      <w:r>
        <w:t xml:space="preserve"> </w:t>
      </w:r>
      <w:r>
        <w:rPr>
          <w:rStyle w:val="VerbatimChar"/>
        </w:rPr>
        <w:t xml:space="preserve">3.4.5</w:t>
      </w:r>
      <w:r>
        <w:t xml:space="preserve">, the</w:t>
      </w:r>
      <w:r>
        <w:t xml:space="preserve"> </w:t>
      </w:r>
      <w:r>
        <w:rPr>
          <w:rStyle w:val="VerbatimChar"/>
        </w:rPr>
        <w:t xml:space="preserve">Global</w:t>
      </w:r>
      <w:r>
        <w:t xml:space="preserve"> </w:t>
      </w:r>
      <w:r>
        <w:t xml:space="preserve">reward provides a one-time comprehensive score at the end of the simulation based on final results like</w:t>
      </w:r>
      <w:r>
        <w:t xml:space="preserve"> </w:t>
      </w:r>
      <w:r>
        <w:t xml:space="preserve">“total transport efficiency”</w:t>
      </w:r>
      <w:r>
        <w:t xml:space="preserve"> </w:t>
      </w:r>
      <w:r>
        <w:t xml:space="preserve">and</w:t>
      </w:r>
      <w:r>
        <w:t xml:space="preserve"> </w:t>
      </w:r>
      <w:r>
        <w:t xml:space="preserve">“total energy consumption.”</w:t>
      </w:r>
    </w:p>
    <w:p>
      <w:pPr>
        <w:pStyle w:val="Compact"/>
        <w:numPr>
          <w:ilvl w:val="1"/>
          <w:numId w:val="1007"/>
        </w:numPr>
      </w:pPr>
      <w:r>
        <w:rPr>
          <w:b/>
          <w:bCs/>
        </w:rPr>
        <w:t xml:space="preserve">Effect</w:t>
      </w:r>
      <w:r>
        <w:t xml:space="preserve">: This mechanism guides the neural network to learn a more</w:t>
      </w:r>
      <w:r>
        <w:t xml:space="preserve"> </w:t>
      </w:r>
      <w:r>
        <w:rPr>
          <w:b/>
          <w:bCs/>
        </w:rPr>
        <w:t xml:space="preserve">forward-looking</w:t>
      </w:r>
      <w:r>
        <w:t xml:space="preserve"> </w:t>
      </w:r>
      <w:r>
        <w:t xml:space="preserve">and</w:t>
      </w:r>
      <w:r>
        <w:t xml:space="preserve"> </w:t>
      </w:r>
      <w:r>
        <w:rPr>
          <w:b/>
          <w:bCs/>
        </w:rPr>
        <w:t xml:space="preserve">big-picture</w:t>
      </w:r>
      <w:r>
        <w:t xml:space="preserve"> </w:t>
      </w:r>
      <w:r>
        <w:t xml:space="preserve">strategy. It doesn’t just focus on immediate gains and losses but strives to achieve a system-level optimal state throughout the simulation. The data shows that while it is not extreme in either metric, it exhibits a more</w:t>
      </w:r>
      <w:r>
        <w:t xml:space="preserve"> </w:t>
      </w:r>
      <w:r>
        <w:rPr>
          <w:b/>
          <w:bCs/>
        </w:rPr>
        <w:t xml:space="preserve">balanced</w:t>
      </w:r>
      <w:r>
        <w:t xml:space="preserve"> </w:t>
      </w:r>
      <w:r>
        <w:t xml:space="preserve">characteristic. In the energy-efficiency trade-off analysis in Figure 4.3.1, several of the more balanced points (like</w:t>
      </w:r>
      <w:r>
        <w:t xml:space="preserve"> </w:t>
      </w:r>
      <w:r>
        <w:rPr>
          <w:rStyle w:val="VerbatimChar"/>
        </w:rPr>
        <w:t xml:space="preserve">NERL-G-B3</w:t>
      </w:r>
      <w:r>
        <w:t xml:space="preserve">) come from this camp.</w:t>
      </w:r>
    </w:p>
    <w:p>
      <w:pPr>
        <w:pStyle w:val="Compact"/>
        <w:numPr>
          <w:ilvl w:val="0"/>
          <w:numId w:val="1006"/>
        </w:numPr>
      </w:pPr>
      <w:r>
        <w:rPr>
          <w:b/>
          <w:bCs/>
        </w:rPr>
        <w:t xml:space="preserve">Step Reward: Shaping</w:t>
      </w:r>
      <w:r>
        <w:rPr>
          <w:b/>
          <w:bCs/>
        </w:rPr>
        <w:t xml:space="preserve"> </w:t>
      </w:r>
      <w:r>
        <w:rPr>
          <w:b/>
          <w:bCs/>
        </w:rPr>
        <w:t xml:space="preserve">“Opportunism”</w:t>
      </w:r>
    </w:p>
    <w:p>
      <w:pPr>
        <w:pStyle w:val="Compact"/>
        <w:numPr>
          <w:ilvl w:val="1"/>
          <w:numId w:val="1008"/>
        </w:numPr>
      </w:pPr>
      <w:r>
        <w:rPr>
          <w:b/>
          <w:bCs/>
        </w:rPr>
        <w:t xml:space="preserve">Mechanism</w:t>
      </w:r>
      <w:r>
        <w:t xml:space="preserve">: The</w:t>
      </w:r>
      <w:r>
        <w:t xml:space="preserve"> </w:t>
      </w:r>
      <w:r>
        <w:rPr>
          <w:rStyle w:val="VerbatimChar"/>
        </w:rPr>
        <w:t xml:space="preserve">Step</w:t>
      </w:r>
      <w:r>
        <w:t xml:space="preserve"> </w:t>
      </w:r>
      <w:r>
        <w:t xml:space="preserve">reward provides immediate feedback at each time step based on the current local situation (e.g., whether a move was successful).</w:t>
      </w:r>
    </w:p>
    <w:p>
      <w:pPr>
        <w:pStyle w:val="Compact"/>
        <w:numPr>
          <w:ilvl w:val="1"/>
          <w:numId w:val="1008"/>
        </w:numPr>
      </w:pPr>
      <w:r>
        <w:rPr>
          <w:b/>
          <w:bCs/>
        </w:rPr>
        <w:t xml:space="preserve">Effect</w:t>
      </w:r>
      <w:r>
        <w:t xml:space="preserve">: This high-frequency, immediate reward makes the controller more inclined to learn</w:t>
      </w:r>
      <w:r>
        <w:t xml:space="preserve"> </w:t>
      </w:r>
      <w:r>
        <w:rPr>
          <w:b/>
          <w:bCs/>
        </w:rPr>
        <w:t xml:space="preserve">short-sighted, opportunistic</w:t>
      </w:r>
      <w:r>
        <w:t xml:space="preserve"> </w:t>
      </w:r>
      <w:r>
        <w:t xml:space="preserve">strategies. It will seize every opportunity to improve local efficiency, which explains why the</w:t>
      </w:r>
      <w:r>
        <w:t xml:space="preserve"> </w:t>
      </w:r>
      <w:r>
        <w:rPr>
          <w:rStyle w:val="VerbatimChar"/>
        </w:rPr>
        <w:t xml:space="preserve">Step</w:t>
      </w:r>
      <w:r>
        <w:t xml:space="preserve"> </w:t>
      </w:r>
      <w:r>
        <w:t xml:space="preserve">reward camp produced the individual with the</w:t>
      </w:r>
      <w:r>
        <w:t xml:space="preserve"> </w:t>
      </w:r>
      <w:r>
        <w:rPr>
          <w:b/>
          <w:bCs/>
        </w:rPr>
        <w:t xml:space="preserve">best energy efficiency performance</w:t>
      </w:r>
      <w:r>
        <w:t xml:space="preserve"> </w:t>
      </w:r>
      <w:r>
        <w:t xml:space="preserve">(</w:t>
      </w:r>
      <w:r>
        <w:rPr>
          <w:rStyle w:val="VerbatimChar"/>
        </w:rPr>
        <w:t xml:space="preserve">NERL-S-A3</w:t>
      </w:r>
      <w:r>
        <w:t xml:space="preserve">, 122.8 EU). However, this excessive pursuit of local optima can sometimes sacrifice global fluency, hence its slightly lower average completion rate.</w:t>
      </w:r>
    </w:p>
    <w:p>
      <w:pPr>
        <w:pStyle w:val="FirstParagraph"/>
      </w:pPr>
      <w:r>
        <w:t xml:space="preserve">In summary,</w:t>
      </w:r>
      <w:r>
        <w:t xml:space="preserve"> </w:t>
      </w:r>
      <w:r>
        <w:rPr>
          <w:rStyle w:val="VerbatimChar"/>
        </w:rPr>
        <w:t xml:space="preserve">Global</w:t>
      </w:r>
      <w:r>
        <w:t xml:space="preserve"> </w:t>
      </w:r>
      <w:r>
        <w:t xml:space="preserve">and</w:t>
      </w:r>
      <w:r>
        <w:t xml:space="preserve"> </w:t>
      </w:r>
      <w:r>
        <w:rPr>
          <w:rStyle w:val="VerbatimChar"/>
        </w:rPr>
        <w:t xml:space="preserve">Step</w:t>
      </w:r>
      <w:r>
        <w:t xml:space="preserve"> </w:t>
      </w:r>
      <w:r>
        <w:t xml:space="preserve">rewards are not absolutely superior or inferior, but rather paths to different optimization goals.</w:t>
      </w:r>
      <w:r>
        <w:t xml:space="preserve"> </w:t>
      </w:r>
      <w:r>
        <w:rPr>
          <w:rStyle w:val="VerbatimChar"/>
        </w:rPr>
        <w:t xml:space="preserve">Global</w:t>
      </w:r>
      <w:r>
        <w:t xml:space="preserve"> </w:t>
      </w:r>
      <w:r>
        <w:t xml:space="preserve">rewards tend to cultivate robust, balanced, big-picture strategies, while</w:t>
      </w:r>
      <w:r>
        <w:t xml:space="preserve"> </w:t>
      </w:r>
      <w:r>
        <w:rPr>
          <w:rStyle w:val="VerbatimChar"/>
        </w:rPr>
        <w:t xml:space="preserve">Step</w:t>
      </w:r>
      <w:r>
        <w:t xml:space="preserve"> </w:t>
      </w:r>
      <w:r>
        <w:t xml:space="preserve">rewards can more effectively uncover</w:t>
      </w:r>
      <w:r>
        <w:t xml:space="preserve"> </w:t>
      </w:r>
      <w:r>
        <w:t xml:space="preserve">“expert-level”</w:t>
      </w:r>
      <w:r>
        <w:t xml:space="preserve"> </w:t>
      </w:r>
      <w:r>
        <w:t xml:space="preserve">strategies that excel in a specific dimension (like energy efficiency). Understanding this is valuable for designing customized DRL controllers for specific industrial scenarios in the future.</w:t>
      </w:r>
    </w:p>
    <w:bookmarkEnd w:id="11"/>
    <w:bookmarkStart w:id="12" w:name="Xddbe788fe01b1643e45444f14f5a8ccc0cbfc7b"/>
    <w:p>
      <w:pPr>
        <w:pStyle w:val="Heading3"/>
      </w:pPr>
      <w:r>
        <w:t xml:space="preserve">4.3.4 Strategy Stability Analysis: The Final Trade-off Between Predictability and Adaptability</w:t>
      </w:r>
    </w:p>
    <w:p>
      <w:pPr>
        <w:pStyle w:val="FirstParagraph"/>
      </w:pPr>
      <w:r>
        <w:t xml:space="preserve">When evaluating the practical value of a control strategy, in addition to average performance, its</w:t>
      </w:r>
      <w:r>
        <w:t xml:space="preserve"> </w:t>
      </w:r>
      <w:r>
        <w:rPr>
          <w:b/>
          <w:bCs/>
        </w:rPr>
        <w:t xml:space="preserve">Consistency</w:t>
      </w:r>
      <w:r>
        <w:t xml:space="preserve"> </w:t>
      </w:r>
      <w:r>
        <w:t xml:space="preserve">and</w:t>
      </w:r>
      <w:r>
        <w:t xml:space="preserve"> </w:t>
      </w:r>
      <w:r>
        <w:rPr>
          <w:b/>
          <w:bCs/>
        </w:rPr>
        <w:t xml:space="preserve">Reliability</w:t>
      </w:r>
      <w:r>
        <w:t xml:space="preserve"> </w:t>
      </w:r>
      <w:r>
        <w:t xml:space="preserve">across multiple runs are equally crucial. A highly unstable strategy, no matter how good its average performance, is difficult to deploy in real industrial scenarios that require predictability.</w:t>
      </w:r>
    </w:p>
    <w:p>
      <w:pPr>
        <w:pStyle w:val="BodyText"/>
      </w:pPr>
      <w:r>
        <w:t xml:space="preserve">This section uses the Coefficient of Variation (CV) to evaluate the stability of each controller on the two core metrics:</w:t>
      </w:r>
      <w:r>
        <w:t xml:space="preserve"> </w:t>
      </w:r>
      <w:r>
        <w:t xml:space="preserve">“Order Completion Rate”</w:t>
      </w:r>
      <w:r>
        <w:t xml:space="preserve"> </w:t>
      </w:r>
      <w:r>
        <w:t xml:space="preserve">and</w:t>
      </w:r>
      <w:r>
        <w:t xml:space="preserve"> </w:t>
      </w:r>
      <w:r>
        <w:t xml:space="preserve">“Energy Consumption per Order.”</w:t>
      </w:r>
      <w:r>
        <w:t xml:space="preserve"> </w:t>
      </w:r>
      <w:r>
        <w:t xml:space="preserve">A lower CV value indicates that the strategy’s output is more stable and predictable.</w:t>
      </w:r>
    </w:p>
    <w:p>
      <w:pPr>
        <w:pStyle w:val="BodyText"/>
      </w:pPr>
      <w:r>
        <w:rPr>
          <w:b/>
          <w:bCs/>
        </w:rPr>
        <w:t xml:space="preserve">Figure 4.3.4a: Order Completion Rate Stability Analysis</w:t>
      </w:r>
      <w:r>
        <w:t xml:space="preserve"> </w:t>
      </w:r>
      <w:r>
        <w:rPr>
          <w:i/>
          <w:iCs/>
        </w:rPr>
        <w:t xml:space="preserve">【Note: Please insert the</w:t>
      </w:r>
      <w:r>
        <w:rPr>
          <w:i/>
          <w:iCs/>
        </w:rPr>
        <w:t xml:space="preserve"> </w:t>
      </w:r>
      <w:r>
        <w:rPr>
          <w:rStyle w:val="VerbatimChar"/>
          <w:rFonts w:hint="eastAsia"/>
          <w:i/>
          <w:iCs/>
        </w:rPr>
        <w:t xml:space="preserve">最新驗證數據/analysis_results_new/fig_4.3.4a_completion_stability.png</w:t>
      </w:r>
      <w:r>
        <w:rPr>
          <w:i/>
          <w:iCs/>
        </w:rPr>
        <w:t xml:space="preserve"> </w:t>
      </w:r>
      <w:r>
        <w:rPr>
          <w:i/>
          <w:iCs/>
        </w:rPr>
        <w:t xml:space="preserve">image file here.】</w:t>
      </w:r>
    </w:p>
    <w:p>
      <w:pPr>
        <w:pStyle w:val="BodyText"/>
      </w:pPr>
      <w:r>
        <w:rPr>
          <w:b/>
          <w:bCs/>
        </w:rPr>
        <w:t xml:space="preserve">Figure 4.3.4b: Energy Efficiency Stability Analysis</w:t>
      </w:r>
      <w:r>
        <w:t xml:space="preserve"> </w:t>
      </w:r>
      <w:r>
        <w:rPr>
          <w:i/>
          <w:iCs/>
        </w:rPr>
        <w:t xml:space="preserve">【Note: Please insert the</w:t>
      </w:r>
      <w:r>
        <w:rPr>
          <w:i/>
          <w:iCs/>
        </w:rPr>
        <w:t xml:space="preserve"> </w:t>
      </w:r>
      <w:r>
        <w:rPr>
          <w:rStyle w:val="VerbatimChar"/>
          <w:rFonts w:hint="eastAsia"/>
          <w:i/>
          <w:iCs/>
        </w:rPr>
        <w:t xml:space="preserve">最新驗證數據/analysis_results_new/fig_4.3.4b_energy_stability.png</w:t>
      </w:r>
      <w:r>
        <w:rPr>
          <w:i/>
          <w:iCs/>
        </w:rPr>
        <w:t xml:space="preserve"> </w:t>
      </w:r>
      <w:r>
        <w:rPr>
          <w:i/>
          <w:iCs/>
        </w:rPr>
        <w:t xml:space="preserve">image file here.】</w:t>
      </w:r>
    </w:p>
    <w:p>
      <w:pPr>
        <w:pStyle w:val="BodyText"/>
      </w:pPr>
      <w:r>
        <w:t xml:space="preserve">These two charts, from the new dimension of</w:t>
      </w:r>
      <w:r>
        <w:t xml:space="preserve"> </w:t>
      </w:r>
      <w:r>
        <w:t xml:space="preserve">“stability,”</w:t>
      </w:r>
      <w:r>
        <w:t xml:space="preserve"> </w:t>
      </w:r>
      <w:r>
        <w:t xml:space="preserve">re-confirm and deepen the findings of previous sections, revealing the profound trade-off between performance and stability. Table 4.3.5 provides a final summary of the</w:t>
      </w:r>
      <w:r>
        <w:t xml:space="preserve"> </w:t>
      </w:r>
      <w:r>
        <w:t xml:space="preserve">“personality”</w:t>
      </w:r>
      <w:r>
        <w:t xml:space="preserve"> </w:t>
      </w:r>
      <w:r>
        <w:t xml:space="preserve">of each controller type.</w:t>
      </w:r>
    </w:p>
    <w:p>
      <w:pPr>
        <w:pStyle w:val="TableCaption"/>
      </w:pPr>
      <w:r>
        <w:t xml:space="preserve">Summary of Stability and Strategy Personality for the Three Controller Families</w:t>
      </w:r>
    </w:p>
    <w:tbl>
      <w:tblPr>
        <w:tblStyle w:val="Table"/>
        <w:tblW w:type="pct" w:w="5000"/>
        <w:tblLayout w:type="fixed"/>
        <w:tblLook w:firstRow="1" w:lastRow="0" w:firstColumn="0" w:lastColumn="0" w:noHBand="0" w:noVBand="0" w:val="0020"/>
        <w:tblCaption w:val="Summary of Stability and Strategy Personality for the Three Controller Families"/>
      </w:tblPr>
      <w:tblGrid>
        <w:gridCol w:w="1980"/>
        <w:gridCol w:w="1980"/>
        <w:gridCol w:w="1980"/>
        <w:gridCol w:w="1980"/>
      </w:tblGrid>
      <w:tr>
        <w:trPr>
          <w:tblHeader w:val="on"/>
        </w:trPr>
        <w:tc>
          <w:tcPr/>
          <w:p>
            <w:pPr>
              <w:pStyle w:val="Compact"/>
              <w:jc w:val="left"/>
            </w:pPr>
            <w:r>
              <w:t xml:space="preserve">Controller Family</w:t>
            </w:r>
          </w:p>
        </w:tc>
        <w:tc>
          <w:tcPr/>
          <w:p>
            <w:pPr>
              <w:pStyle w:val="Compact"/>
              <w:jc w:val="left"/>
            </w:pPr>
            <w:r>
              <w:t xml:space="preserve">Throughput Stability</w:t>
            </w:r>
          </w:p>
        </w:tc>
        <w:tc>
          <w:tcPr/>
          <w:p>
            <w:pPr>
              <w:pStyle w:val="Compact"/>
              <w:jc w:val="left"/>
            </w:pPr>
            <w:r>
              <w:t xml:space="preserve">Energy Stability</w:t>
            </w:r>
          </w:p>
        </w:tc>
        <w:tc>
          <w:tcPr/>
          <w:p>
            <w:pPr>
              <w:pStyle w:val="Compact"/>
              <w:jc w:val="left"/>
            </w:pPr>
            <w:r>
              <w:t xml:space="preserve">Comprehensive Personality Interpretation</w:t>
            </w:r>
          </w:p>
        </w:tc>
      </w:tr>
      <w:tr>
        <w:tc>
          <w:tcPr/>
          <w:p>
            <w:pPr>
              <w:pStyle w:val="Compact"/>
              <w:jc w:val="left"/>
            </w:pPr>
            <w:r>
              <w:rPr>
                <w:b/>
                <w:bCs/>
              </w:rPr>
              <w:t xml:space="preserve">Baseline</w:t>
            </w:r>
          </w:p>
        </w:tc>
        <w:tc>
          <w:tcPr/>
          <w:p>
            <w:pPr>
              <w:pStyle w:val="Compact"/>
              <w:jc w:val="left"/>
            </w:pPr>
            <w:r>
              <w:t xml:space="preserve">Higher</w:t>
            </w:r>
          </w:p>
        </w:tc>
        <w:tc>
          <w:tcPr/>
          <w:p>
            <w:pPr>
              <w:pStyle w:val="Compact"/>
              <w:jc w:val="left"/>
            </w:pPr>
            <w:r>
              <w:t xml:space="preserve">Medium</w:t>
            </w:r>
          </w:p>
        </w:tc>
        <w:tc>
          <w:tcPr/>
          <w:p>
            <w:pPr>
              <w:pStyle w:val="Compact"/>
              <w:jc w:val="left"/>
            </w:pPr>
            <w:r>
              <w:rPr>
                <w:b/>
                <w:bCs/>
              </w:rPr>
              <w:t xml:space="preserve">Predictable Executor</w:t>
            </w:r>
            <w:r>
              <w:t xml:space="preserve">: Strictly follows preset rules, resulting in highly consistent behavior.</w:t>
            </w:r>
          </w:p>
        </w:tc>
      </w:tr>
      <w:tr>
        <w:tc>
          <w:tcPr/>
          <w:p>
            <w:pPr>
              <w:pStyle w:val="Compact"/>
              <w:jc w:val="left"/>
            </w:pPr>
            <w:r>
              <w:rPr>
                <w:b/>
                <w:bCs/>
              </w:rPr>
              <w:t xml:space="preserve">DQN</w:t>
            </w:r>
          </w:p>
        </w:tc>
        <w:tc>
          <w:tcPr/>
          <w:p>
            <w:pPr>
              <w:pStyle w:val="Compact"/>
              <w:jc w:val="left"/>
            </w:pPr>
            <w:r>
              <w:rPr>
                <w:b/>
                <w:bCs/>
              </w:rPr>
              <w:t xml:space="preserve">Highest</w:t>
            </w:r>
          </w:p>
        </w:tc>
        <w:tc>
          <w:tcPr/>
          <w:p>
            <w:pPr>
              <w:pStyle w:val="Compact"/>
              <w:jc w:val="left"/>
            </w:pPr>
            <w:r>
              <w:t xml:space="preserve">Lower</w:t>
            </w:r>
          </w:p>
        </w:tc>
        <w:tc>
          <w:tcPr/>
          <w:p>
            <w:pPr>
              <w:pStyle w:val="Compact"/>
              <w:jc w:val="left"/>
            </w:pPr>
            <w:r>
              <w:rPr>
                <w:b/>
                <w:bCs/>
              </w:rPr>
              <w:t xml:space="preserve">Stable Expert</w:t>
            </w:r>
            <w:r>
              <w:t xml:space="preserve">: Converges to a single optimal policy, yielding extremely stable throughput, but at a fluctuating energy cost to achieve its goal.</w:t>
            </w:r>
          </w:p>
        </w:tc>
      </w:tr>
      <w:tr>
        <w:tc>
          <w:tcPr/>
          <w:p>
            <w:pPr>
              <w:pStyle w:val="Compact"/>
              <w:jc w:val="left"/>
            </w:pPr>
            <w:r>
              <w:rPr>
                <w:b/>
                <w:bCs/>
              </w:rPr>
              <w:t xml:space="preserve">NERL (This Study)</w:t>
            </w:r>
          </w:p>
        </w:tc>
        <w:tc>
          <w:tcPr/>
          <w:p>
            <w:pPr>
              <w:pStyle w:val="Compact"/>
              <w:jc w:val="left"/>
            </w:pPr>
            <w:r>
              <w:t xml:space="preserve">Lower</w:t>
            </w:r>
          </w:p>
        </w:tc>
        <w:tc>
          <w:tcPr/>
          <w:p>
            <w:pPr>
              <w:pStyle w:val="Compact"/>
              <w:jc w:val="left"/>
            </w:pPr>
            <w:r>
              <w:rPr>
                <w:b/>
                <w:bCs/>
              </w:rPr>
              <w:t xml:space="preserve">Highest</w:t>
            </w:r>
          </w:p>
        </w:tc>
        <w:tc>
          <w:tcPr/>
          <w:p>
            <w:pPr>
              <w:pStyle w:val="Compact"/>
              <w:jc w:val="left"/>
            </w:pPr>
            <w:r>
              <w:rPr>
                <w:b/>
                <w:bCs/>
              </w:rPr>
              <w:t xml:space="preserve">Adaptive Explorer</w:t>
            </w:r>
            <w:r>
              <w:t xml:space="preserve">: Policy space is more diverse, leading to fluctuations in throughput, but its</w:t>
            </w:r>
            <w:r>
              <w:t xml:space="preserve"> </w:t>
            </w:r>
            <w:r>
              <w:t xml:space="preserve">“intent”</w:t>
            </w:r>
            <w:r>
              <w:t xml:space="preserve"> </w:t>
            </w:r>
            <w:r>
              <w:t xml:space="preserve">to save energy is expressed more consistently.</w:t>
            </w:r>
          </w:p>
        </w:tc>
      </w:tr>
    </w:tbl>
    <w:p>
      <w:pPr>
        <w:pStyle w:val="BodyText"/>
      </w:pPr>
      <w:r>
        <w:t xml:space="preserve">Synthesizing the charts, we can draw the following conclusions to wrap up the analysis of Chapter 4:</w:t>
      </w:r>
    </w:p>
    <w:p>
      <w:pPr>
        <w:numPr>
          <w:ilvl w:val="0"/>
          <w:numId w:val="1009"/>
        </w:numPr>
      </w:pPr>
      <w:r>
        <w:rPr>
          <w:b/>
          <w:bCs/>
        </w:rPr>
        <w:t xml:space="preserve">DQN: The High-Stability Throughput Expert</w:t>
      </w:r>
      <w:r>
        <w:t xml:space="preserve"> </w:t>
      </w:r>
      <w:r>
        <w:t xml:space="preserve">Figure 4.3.4a clearly shows that</w:t>
      </w:r>
      <w:r>
        <w:t xml:space="preserve"> </w:t>
      </w:r>
      <w:r>
        <w:rPr>
          <w:rStyle w:val="VerbatimChar"/>
        </w:rPr>
        <w:t xml:space="preserve">DQN-G</w:t>
      </w:r>
      <w:r>
        <w:t xml:space="preserve"> </w:t>
      </w:r>
      <w:r>
        <w:t xml:space="preserve">and</w:t>
      </w:r>
      <w:r>
        <w:t xml:space="preserve"> </w:t>
      </w:r>
      <w:r>
        <w:rPr>
          <w:rStyle w:val="VerbatimChar"/>
        </w:rPr>
        <w:t xml:space="preserve">DQN-S</w:t>
      </w:r>
      <w:r>
        <w:t xml:space="preserve"> </w:t>
      </w:r>
      <w:r>
        <w:t xml:space="preserve">far exceed all other models in order completion rate stability. This indicates that standard reinforcement learning, after convergence, can produce a highly consistent throughput-oriented strategy. In industrial scenarios where</w:t>
      </w:r>
      <w:r>
        <w:t xml:space="preserve"> </w:t>
      </w:r>
      <w:r>
        <w:rPr>
          <w:b/>
          <w:bCs/>
        </w:rPr>
        <w:t xml:space="preserve">predictability is paramount</w:t>
      </w:r>
      <w:r>
        <w:t xml:space="preserve">, DQN holds an irreplaceable advantage.</w:t>
      </w:r>
    </w:p>
    <w:p>
      <w:pPr>
        <w:numPr>
          <w:ilvl w:val="0"/>
          <w:numId w:val="1009"/>
        </w:numPr>
      </w:pPr>
      <w:r>
        <w:rPr>
          <w:b/>
          <w:bCs/>
        </w:rPr>
        <w:t xml:space="preserve">The Double-Edged Sword of NERL’s Exploration: Trading Throughput Fluctuation for Greater Possibilities</w:t>
      </w:r>
      <w:r>
        <w:t xml:space="preserve"> </w:t>
      </w:r>
      <w:r>
        <w:t xml:space="preserve">The models with the lowest stability in Figure 4.3.4a are almost all NERL’s</w:t>
      </w:r>
      <w:r>
        <w:t xml:space="preserve"> </w:t>
      </w:r>
      <w:r>
        <w:t xml:space="preserve">“exploratory (A)”</w:t>
      </w:r>
      <w:r>
        <w:t xml:space="preserve"> </w:t>
      </w:r>
      <w:r>
        <w:t xml:space="preserve">variants. This quantitatively demonstrates the cost of</w:t>
      </w:r>
      <w:r>
        <w:t xml:space="preserve"> </w:t>
      </w:r>
      <w:r>
        <w:t xml:space="preserve">“exploration”</w:t>
      </w:r>
      <w:r>
        <w:t xml:space="preserve">: to find potentially better energy-saving paths, the model tries more diverse strategies, which inevitably leads to greater fluctuations in its throughput performance across different runs. However, the other side of this double-edged sword is that it is precisely this exploration that allowed NERL to discover the new</w:t>
      </w:r>
      <w:r>
        <w:t xml:space="preserve"> </w:t>
      </w:r>
      <w:r>
        <w:t xml:space="preserve">“smart energy-saving zone”</w:t>
      </w:r>
      <w:r>
        <w:t xml:space="preserve"> </w:t>
      </w:r>
      <w:r>
        <w:t xml:space="preserve">in Section</w:t>
      </w:r>
      <w:r>
        <w:t xml:space="preserve"> </w:t>
      </w:r>
      <w:r>
        <w:rPr>
          <w:rStyle w:val="VerbatimChar"/>
        </w:rPr>
        <w:t xml:space="preserve">4.3.1</w:t>
      </w:r>
      <w:r>
        <w:t xml:space="preserve">.</w:t>
      </w:r>
    </w:p>
    <w:p>
      <w:pPr>
        <w:numPr>
          <w:ilvl w:val="0"/>
          <w:numId w:val="1009"/>
        </w:numPr>
      </w:pPr>
      <w:r>
        <w:rPr>
          <w:b/>
          <w:bCs/>
        </w:rPr>
        <w:t xml:space="preserve">Strategy Personality Shaped by Reward Functions</w:t>
      </w:r>
      <w:r>
        <w:t xml:space="preserve"> </w:t>
      </w:r>
      <w:r>
        <w:t xml:space="preserve">The idea of</w:t>
      </w:r>
      <w:r>
        <w:t xml:space="preserve"> </w:t>
      </w:r>
      <w:r>
        <w:t xml:space="preserve">“reward shaping DNA”</w:t>
      </w:r>
      <w:r>
        <w:t xml:space="preserve"> </w:t>
      </w:r>
      <w:r>
        <w:t xml:space="preserve">from Section</w:t>
      </w:r>
      <w:r>
        <w:t xml:space="preserve"> </w:t>
      </w:r>
      <w:r>
        <w:rPr>
          <w:rStyle w:val="VerbatimChar"/>
        </w:rPr>
        <w:t xml:space="preserve">4.3.3</w:t>
      </w:r>
      <w:r>
        <w:t xml:space="preserve"> </w:t>
      </w:r>
      <w:r>
        <w:t xml:space="preserve">is finally confirmed in the stability analysis. An enlightening comparison is between</w:t>
      </w:r>
      <w:r>
        <w:t xml:space="preserve"> </w:t>
      </w:r>
      <w:r>
        <w:rPr>
          <w:rStyle w:val="VerbatimChar"/>
        </w:rPr>
        <w:t xml:space="preserve">NERL-G-B3</w:t>
      </w:r>
      <w:r>
        <w:t xml:space="preserve"> </w:t>
      </w:r>
      <w:r>
        <w:t xml:space="preserve">and</w:t>
      </w:r>
      <w:r>
        <w:t xml:space="preserve"> </w:t>
      </w:r>
      <w:r>
        <w:rPr>
          <w:rStyle w:val="VerbatimChar"/>
        </w:rPr>
        <w:t xml:space="preserve">NERL-S-B3</w:t>
      </w:r>
      <w:r>
        <w:t xml:space="preserve">:</w:t>
      </w:r>
    </w:p>
    <w:p>
      <w:pPr>
        <w:pStyle w:val="Compact"/>
        <w:numPr>
          <w:ilvl w:val="1"/>
          <w:numId w:val="1010"/>
        </w:numPr>
      </w:pPr>
      <w:r>
        <w:rPr>
          <w:rStyle w:val="VerbatimChar"/>
          <w:b/>
          <w:bCs/>
        </w:rPr>
        <w:t xml:space="preserve">Global</w:t>
      </w:r>
      <w:r>
        <w:rPr>
          <w:b/>
          <w:bCs/>
        </w:rPr>
        <w:t xml:space="preserve"> </w:t>
      </w:r>
      <w:r>
        <w:rPr>
          <w:b/>
          <w:bCs/>
        </w:rPr>
        <w:t xml:space="preserve">Reward</w:t>
      </w:r>
      <w:r>
        <w:t xml:space="preserve"> </w:t>
      </w:r>
      <w:r>
        <w:t xml:space="preserve">(</w:t>
      </w:r>
      <w:r>
        <w:rPr>
          <w:rStyle w:val="VerbatimChar"/>
        </w:rPr>
        <w:t xml:space="preserve">NERL-G-B3</w:t>
      </w:r>
      <w:r>
        <w:t xml:space="preserve">): In Figure 4.3.4b, its</w:t>
      </w:r>
      <w:r>
        <w:t xml:space="preserve"> </w:t>
      </w:r>
      <w:r>
        <w:rPr>
          <w:b/>
          <w:bCs/>
        </w:rPr>
        <w:t xml:space="preserve">energy efficiency is extremely stable</w:t>
      </w:r>
      <w:r>
        <w:t xml:space="preserve"> </w:t>
      </w:r>
      <w:r>
        <w:t xml:space="preserve">(leftmost in the plot). This again proves that</w:t>
      </w:r>
      <w:r>
        <w:t xml:space="preserve"> </w:t>
      </w:r>
      <w:r>
        <w:rPr>
          <w:rStyle w:val="VerbatimChar"/>
        </w:rPr>
        <w:t xml:space="preserve">Global</w:t>
      </w:r>
      <w:r>
        <w:t xml:space="preserve"> </w:t>
      </w:r>
      <w:r>
        <w:t xml:space="preserve">reward drives the model to learn a stable, big-picture strategy that</w:t>
      </w:r>
      <w:r>
        <w:t xml:space="preserve"> </w:t>
      </w:r>
      <w:r>
        <w:rPr>
          <w:b/>
          <w:bCs/>
        </w:rPr>
        <w:t xml:space="preserve">prioritizes energy saving</w:t>
      </w:r>
      <w:r>
        <w:t xml:space="preserve"> </w:t>
      </w:r>
      <w:r>
        <w:t xml:space="preserve">in all situations.</w:t>
      </w:r>
    </w:p>
    <w:p>
      <w:pPr>
        <w:pStyle w:val="Compact"/>
        <w:numPr>
          <w:ilvl w:val="1"/>
          <w:numId w:val="1010"/>
        </w:numPr>
      </w:pPr>
      <w:r>
        <w:rPr>
          <w:rStyle w:val="VerbatimChar"/>
          <w:b/>
          <w:bCs/>
        </w:rPr>
        <w:t xml:space="preserve">Step</w:t>
      </w:r>
      <w:r>
        <w:rPr>
          <w:b/>
          <w:bCs/>
        </w:rPr>
        <w:t xml:space="preserve"> </w:t>
      </w:r>
      <w:r>
        <w:rPr>
          <w:b/>
          <w:bCs/>
        </w:rPr>
        <w:t xml:space="preserve">Reward</w:t>
      </w:r>
      <w:r>
        <w:t xml:space="preserve"> </w:t>
      </w:r>
      <w:r>
        <w:t xml:space="preserve">(</w:t>
      </w:r>
      <w:r>
        <w:rPr>
          <w:rStyle w:val="VerbatimChar"/>
        </w:rPr>
        <w:t xml:space="preserve">NERL-S-B3</w:t>
      </w:r>
      <w:r>
        <w:t xml:space="preserve">): In contrast, it is more stable in throughput but is the most unstable of all models in terms of energy efficiency. This suggests that</w:t>
      </w:r>
      <w:r>
        <w:t xml:space="preserve"> </w:t>
      </w:r>
      <w:r>
        <w:rPr>
          <w:rStyle w:val="VerbatimChar"/>
        </w:rPr>
        <w:t xml:space="preserve">Step</w:t>
      </w:r>
      <w:r>
        <w:t xml:space="preserve"> </w:t>
      </w:r>
      <w:r>
        <w:t xml:space="preserve">reward encourages the model to make more diverse, and therefore less stable,</w:t>
      </w:r>
      <w:r>
        <w:t xml:space="preserve"> </w:t>
      </w:r>
      <w:r>
        <w:rPr>
          <w:b/>
          <w:bCs/>
        </w:rPr>
        <w:t xml:space="preserve">tactical trade-offs</w:t>
      </w:r>
      <w:r>
        <w:t xml:space="preserve"> </w:t>
      </w:r>
      <w:r>
        <w:t xml:space="preserve">between</w:t>
      </w:r>
      <w:r>
        <w:t xml:space="preserve"> </w:t>
      </w:r>
      <w:r>
        <w:t xml:space="preserve">“saving energy”</w:t>
      </w:r>
      <w:r>
        <w:t xml:space="preserve"> </w:t>
      </w:r>
      <w:r>
        <w:t xml:space="preserve">and</w:t>
      </w:r>
      <w:r>
        <w:t xml:space="preserve"> </w:t>
      </w:r>
      <w:r>
        <w:t xml:space="preserve">“sprinting”</w:t>
      </w:r>
      <w:r>
        <w:t xml:space="preserve"> </w:t>
      </w:r>
      <w:r>
        <w:t xml:space="preserve">based on the immediate situation.</w:t>
      </w:r>
    </w:p>
    <w:p>
      <w:pPr>
        <w:pStyle w:val="FirstParagraph"/>
      </w:pPr>
      <w:r>
        <w:t xml:space="preserve">In conclusion, different DRL training methods, in fact, produce artificial intelligences with different</w:t>
      </w:r>
      <w:r>
        <w:t xml:space="preserve"> </w:t>
      </w:r>
      <w:r>
        <w:t xml:space="preserve">“personalities.”</w:t>
      </w:r>
      <w:r>
        <w:t xml:space="preserve"> </w:t>
      </w:r>
      <w:r>
        <w:t xml:space="preserve">There is no absolute</w:t>
      </w:r>
      <w:r>
        <w:t xml:space="preserve"> </w:t>
      </w:r>
      <w:r>
        <w:t xml:space="preserve">“best,”</w:t>
      </w:r>
      <w:r>
        <w:t xml:space="preserve"> </w:t>
      </w:r>
      <w:r>
        <w:t xml:space="preserve">only the most</w:t>
      </w:r>
      <w:r>
        <w:t xml:space="preserve"> </w:t>
      </w:r>
      <w:r>
        <w:t xml:space="preserve">“suitable”</w:t>
      </w:r>
      <w:r>
        <w:t xml:space="preserve"> </w:t>
      </w:r>
      <w:r>
        <w:t xml:space="preserve">controller for a specific need. The analysis process of this study demonstrates how to obtain intelligent control strategies that meet different industrial scenarios (pursuing maximum throughput, absolute stability, or the best energy-efficiency balance) by adjusting their internal mechanisms (especially the reward function).</w:t>
      </w:r>
    </w:p>
    <w:bookmarkEnd w:id="12"/>
    <w:bookmarkStart w:id="13" w:name="Xae3ff0602250932aadcb1642fe8ae77946032d5"/>
    <w:p>
      <w:pPr>
        <w:pStyle w:val="Heading3"/>
      </w:pPr>
      <w:r>
        <w:t xml:space="preserve">4.3.5 Correlation Analysis of Key Performance Indicators</w:t>
      </w:r>
    </w:p>
    <w:p>
      <w:pPr>
        <w:pStyle w:val="FirstParagraph"/>
      </w:pPr>
      <w:r>
        <w:t xml:space="preserve">To understand the system’s intrinsic operating principles from a higher dimension, this section conducts a correlation analysis of several core KPIs (Figure 4.3.5), aiming to reveal the deep relationships between them.</w:t>
      </w:r>
    </w:p>
    <w:p>
      <w:pPr>
        <w:pStyle w:val="BodyText"/>
      </w:pPr>
      <w:r>
        <w:rPr>
          <w:b/>
          <w:bCs/>
        </w:rPr>
        <w:t xml:space="preserve">Figure 4.3.5: Correlation Heatmap of Key Performance Indicators (English Version)</w:t>
      </w:r>
      <w:r>
        <w:t xml:space="preserve"> </w:t>
      </w:r>
      <w:r>
        <w:rPr>
          <w:i/>
          <w:iCs/>
        </w:rPr>
        <w:t xml:space="preserve">【Note: Please insert the</w:t>
      </w:r>
      <w:r>
        <w:rPr>
          <w:i/>
          <w:iCs/>
        </w:rPr>
        <w:t xml:space="preserve"> </w:t>
      </w:r>
      <w:r>
        <w:rPr>
          <w:rStyle w:val="VerbatimChar"/>
          <w:rFonts w:hint="eastAsia"/>
          <w:i/>
          <w:iCs/>
        </w:rPr>
        <w:t xml:space="preserve">最新驗證數據/analysis_results_new/fig_4_3_5_correlation_heatmap.png</w:t>
      </w:r>
      <w:r>
        <w:rPr>
          <w:i/>
          <w:iCs/>
        </w:rPr>
        <w:t xml:space="preserve"> </w:t>
      </w:r>
      <w:r>
        <w:rPr>
          <w:i/>
          <w:iCs/>
        </w:rPr>
        <w:t xml:space="preserve">image file here.】</w:t>
      </w:r>
    </w:p>
    <w:p>
      <w:pPr>
        <w:pStyle w:val="BodyText"/>
      </w:pPr>
      <w:r>
        <w:t xml:space="preserve">This heatmap provides two valuable insights:</w:t>
      </w:r>
      <w:r>
        <w:t xml:space="preserve"> </w:t>
      </w:r>
      <w:r>
        <w:t xml:space="preserve">1.</w:t>
      </w:r>
      <w:r>
        <w:t xml:space="preserve"> </w:t>
      </w:r>
      <w:r>
        <w:rPr>
          <w:b/>
          <w:bCs/>
        </w:rPr>
        <w:t xml:space="preserve">The Default Trade-off between Throughput and Energy Consumption</w:t>
      </w:r>
      <w:r>
        <w:t xml:space="preserve">: The data shows a moderate positive correlation of</w:t>
      </w:r>
      <w:r>
        <w:t xml:space="preserve"> </w:t>
      </w:r>
      <w:r>
        <w:rPr>
          <w:rStyle w:val="VerbatimChar"/>
        </w:rPr>
        <w:t xml:space="preserve">0.61</w:t>
      </w:r>
      <w:r>
        <w:t xml:space="preserve"> </w:t>
      </w:r>
      <w:r>
        <w:t xml:space="preserve">between</w:t>
      </w:r>
      <w:r>
        <w:t xml:space="preserve"> </w:t>
      </w:r>
      <w:r>
        <w:t xml:space="preserve">“Order Completion Rate”</w:t>
      </w:r>
      <w:r>
        <w:t xml:space="preserve"> </w:t>
      </w:r>
      <w:r>
        <w:t xml:space="preserve">and</w:t>
      </w:r>
      <w:r>
        <w:t xml:space="preserve"> </w:t>
      </w:r>
      <w:r>
        <w:t xml:space="preserve">“Energy per Order.”</w:t>
      </w:r>
      <w:r>
        <w:t xml:space="preserve"> </w:t>
      </w:r>
      <w:r>
        <w:t xml:space="preserve">This reveals a</w:t>
      </w:r>
      <w:r>
        <w:t xml:space="preserve"> </w:t>
      </w:r>
      <w:r>
        <w:t xml:space="preserve">“default behavior”</w:t>
      </w:r>
      <w:r>
        <w:t xml:space="preserve"> </w:t>
      </w:r>
      <w:r>
        <w:t xml:space="preserve">of the system: without advanced coordination strategies, the intuitive way to increase throughput usually leads to an increase in energy consumption. This finding, in turn, highlights the characteristic of the energy-efficient NERL models in this study—they have, to some extent,</w:t>
      </w:r>
      <w:r>
        <w:t xml:space="preserve"> </w:t>
      </w:r>
      <w:r>
        <w:rPr>
          <w:b/>
          <w:bCs/>
        </w:rPr>
        <w:t xml:space="preserve">altered this inherent trade-off</w:t>
      </w:r>
      <w:r>
        <w:t xml:space="preserve">.</w:t>
      </w:r>
      <w:r>
        <w:t xml:space="preserve"> </w:t>
      </w:r>
      <w:r>
        <w:t xml:space="preserve">2.</w:t>
      </w:r>
      <w:r>
        <w:t xml:space="preserve"> </w:t>
      </w:r>
      <w:r>
        <w:rPr>
          <w:b/>
          <w:bCs/>
        </w:rPr>
        <w:t xml:space="preserve">The True Impact of Traffic Intervention</w:t>
      </w:r>
      <w:r>
        <w:t xml:space="preserve">: Another key finding is that there is almost no significant linear relationship between</w:t>
      </w:r>
      <w:r>
        <w:t xml:space="preserve"> </w:t>
      </w:r>
      <w:r>
        <w:t xml:space="preserve">“Number of Signal Switches”</w:t>
      </w:r>
      <w:r>
        <w:t xml:space="preserve"> </w:t>
      </w:r>
      <w:r>
        <w:t xml:space="preserve">and all other core metrics (correlation coefficients are all close to 0). This quantitatively proves that the quality of a traffic control strategy lies not in the</w:t>
      </w:r>
      <w:r>
        <w:t xml:space="preserve"> </w:t>
      </w:r>
      <w:r>
        <w:t xml:space="preserve">“frequency”</w:t>
      </w:r>
      <w:r>
        <w:t xml:space="preserve"> </w:t>
      </w:r>
      <w:r>
        <w:t xml:space="preserve">of its intervention, but in its</w:t>
      </w:r>
      <w:r>
        <w:t xml:space="preserve"> </w:t>
      </w:r>
      <w:r>
        <w:t xml:space="preserve">“quality”</w:t>
      </w:r>
      <w:r>
        <w:t xml:space="preserve"> </w:t>
      </w:r>
      <w:r>
        <w:t xml:space="preserve">and</w:t>
      </w:r>
      <w:r>
        <w:t xml:space="preserve"> </w:t>
      </w:r>
      <w:r>
        <w:t xml:space="preserve">“timing.”</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2025-07-27T20:45:22Z</dcterms:created>
  <dcterms:modified xsi:type="dcterms:W3CDTF">2025-07-27T20:45:22Z</dcterms:modified>
</cp:coreProperties>
</file>

<file path=docProps/custom.xml><?xml version="1.0" encoding="utf-8"?>
<Properties xmlns="http://schemas.openxmlformats.org/officeDocument/2006/custom-properties" xmlns:vt="http://schemas.openxmlformats.org/officeDocument/2006/docPropsVTypes"/>
</file>