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w:t>
      </w:r>
    </w:p>
    <w:p>
      <w:pPr>
        <w:jc w:val="center"/>
      </w:pPr>
      <w:r>
        <w:rPr>
          <w:b/>
          <w:sz w:val="40"/>
        </w:rPr>
        <w:t>Data Acquisition, Cleaning, and Exploratory Analysis</w:t>
      </w:r>
    </w:p>
    <w:p>
      <w:pPr>
        <w:jc w:val="center"/>
      </w:pPr>
      <w:r>
        <w:rPr>
          <w:sz w:val="24"/>
        </w:rPr>
        <w:br/>
        <w:t>Public Dataset: Iris Flower Dataset</w:t>
        <w:br/>
      </w:r>
      <w:r>
        <w:rPr>
          <w:sz w:val="22"/>
        </w:rPr>
        <w:t>Tools: Python, Pandas, NumPy, Matplotlib</w:t>
        <w:br/>
      </w:r>
      <w:r>
        <w:rPr>
          <w:sz w:val="22"/>
        </w:rPr>
        <w:t>Prepared as a Week 1 data-science workflow report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sz w:val="18"/>
              </w:rPr>
              <w:t>Item</w:t>
            </w:r>
          </w:p>
        </w:tc>
        <w:tc>
          <w:tcPr>
            <w:tcW w:type="dxa" w:w="5040"/>
            <w:vAlign w:val="center"/>
            <w:shd w:fill="EDEDED"/>
          </w:tcPr>
          <w:p>
            <w:r/>
            <w:r>
              <w:rPr>
                <w:b/>
                <w:sz w:val="18"/>
              </w:rPr>
              <w:t>Details</w:t>
            </w:r>
          </w:p>
        </w:tc>
      </w:tr>
      <w:tr>
        <w:tc>
          <w:tcPr>
            <w:tcW w:type="dxa" w:w="5040"/>
            <w:vAlign w:val="center"/>
          </w:tcPr>
          <w:p>
            <w:r/>
            <w:r>
              <w:rPr>
                <w:b w:val="0"/>
                <w:sz w:val="18"/>
              </w:rPr>
              <w:t>Dataset</w:t>
            </w:r>
          </w:p>
        </w:tc>
        <w:tc>
          <w:tcPr>
            <w:tcW w:type="dxa" w:w="5040"/>
            <w:vAlign w:val="center"/>
          </w:tcPr>
          <w:p>
            <w:r/>
            <w:r>
              <w:rPr>
                <w:b w:val="0"/>
                <w:sz w:val="18"/>
              </w:rPr>
              <w:t>Iris</w:t>
            </w:r>
          </w:p>
        </w:tc>
      </w:tr>
      <w:tr>
        <w:tc>
          <w:tcPr>
            <w:tcW w:type="dxa" w:w="5040"/>
            <w:vAlign w:val="center"/>
          </w:tcPr>
          <w:p>
            <w:r/>
            <w:r>
              <w:rPr>
                <w:b w:val="0"/>
                <w:sz w:val="18"/>
              </w:rPr>
              <w:t>Source</w:t>
            </w:r>
          </w:p>
        </w:tc>
        <w:tc>
          <w:tcPr>
            <w:tcW w:type="dxa" w:w="5040"/>
            <w:vAlign w:val="center"/>
          </w:tcPr>
          <w:p>
            <w:r/>
            <w:r>
              <w:rPr>
                <w:b w:val="0"/>
                <w:sz w:val="18"/>
              </w:rPr>
              <w:t>UCI Machine Learning Repository</w:t>
            </w:r>
          </w:p>
        </w:tc>
      </w:tr>
      <w:tr>
        <w:tc>
          <w:tcPr>
            <w:tcW w:type="dxa" w:w="5040"/>
            <w:vAlign w:val="center"/>
          </w:tcPr>
          <w:p>
            <w:r/>
            <w:r>
              <w:rPr>
                <w:b w:val="0"/>
                <w:sz w:val="18"/>
              </w:rPr>
              <w:t>Original records</w:t>
            </w:r>
          </w:p>
        </w:tc>
        <w:tc>
          <w:tcPr>
            <w:tcW w:type="dxa" w:w="5040"/>
            <w:vAlign w:val="center"/>
          </w:tcPr>
          <w:p>
            <w:r/>
            <w:r>
              <w:rPr>
                <w:b w:val="0"/>
                <w:sz w:val="18"/>
              </w:rPr>
              <w:t>150</w:t>
            </w:r>
          </w:p>
        </w:tc>
      </w:tr>
      <w:tr>
        <w:tc>
          <w:tcPr>
            <w:tcW w:type="dxa" w:w="5040"/>
            <w:vAlign w:val="center"/>
          </w:tcPr>
          <w:p>
            <w:r/>
            <w:r>
              <w:rPr>
                <w:b w:val="0"/>
                <w:sz w:val="18"/>
              </w:rPr>
              <w:t>Features</w:t>
            </w:r>
          </w:p>
        </w:tc>
        <w:tc>
          <w:tcPr>
            <w:tcW w:type="dxa" w:w="5040"/>
            <w:vAlign w:val="center"/>
          </w:tcPr>
          <w:p>
            <w:r/>
            <w:r>
              <w:rPr>
                <w:b w:val="0"/>
                <w:sz w:val="18"/>
              </w:rPr>
              <w:t>4 numeric measurements + 1 categorical class</w:t>
            </w:r>
          </w:p>
        </w:tc>
      </w:tr>
      <w:tr>
        <w:tc>
          <w:tcPr>
            <w:tcW w:type="dxa" w:w="5040"/>
            <w:vAlign w:val="center"/>
          </w:tcPr>
          <w:p>
            <w:r/>
            <w:r>
              <w:rPr>
                <w:b w:val="0"/>
                <w:sz w:val="18"/>
              </w:rPr>
              <w:t>Cleaning performed</w:t>
            </w:r>
          </w:p>
        </w:tc>
        <w:tc>
          <w:tcPr>
            <w:tcW w:type="dxa" w:w="5040"/>
            <w:vAlign w:val="center"/>
          </w:tcPr>
          <w:p>
            <w:r/>
            <w:r>
              <w:rPr>
                <w:b w:val="0"/>
                <w:sz w:val="18"/>
              </w:rPr>
              <w:t>Type validation, missing-value check, duplicate removal</w:t>
            </w:r>
          </w:p>
        </w:tc>
      </w:tr>
      <w:tr>
        <w:tc>
          <w:tcPr>
            <w:tcW w:type="dxa" w:w="5040"/>
            <w:vAlign w:val="center"/>
          </w:tcPr>
          <w:p>
            <w:r/>
            <w:r>
              <w:rPr>
                <w:b w:val="0"/>
                <w:sz w:val="18"/>
              </w:rPr>
              <w:t>Final records</w:t>
            </w:r>
          </w:p>
        </w:tc>
        <w:tc>
          <w:tcPr>
            <w:tcW w:type="dxa" w:w="5040"/>
            <w:vAlign w:val="center"/>
          </w:tcPr>
          <w:p>
            <w:r/>
            <w:r>
              <w:rPr>
                <w:b w:val="0"/>
                <w:sz w:val="18"/>
              </w:rPr>
              <w:t>149</w:t>
            </w:r>
          </w:p>
        </w:tc>
      </w:tr>
      <w:tr>
        <w:tc>
          <w:tcPr>
            <w:tcW w:type="dxa" w:w="5040"/>
            <w:vAlign w:val="center"/>
          </w:tcPr>
          <w:p>
            <w:r/>
            <w:r>
              <w:rPr>
                <w:b w:val="0"/>
                <w:sz w:val="18"/>
              </w:rPr>
              <w:t>Visualizations</w:t>
            </w:r>
          </w:p>
        </w:tc>
        <w:tc>
          <w:tcPr>
            <w:tcW w:type="dxa" w:w="5040"/>
            <w:vAlign w:val="center"/>
          </w:tcPr>
          <w:p>
            <w:r/>
            <w:r>
              <w:rPr>
                <w:b w:val="0"/>
                <w:sz w:val="18"/>
              </w:rPr>
              <w:t>4</w:t>
            </w:r>
          </w:p>
        </w:tc>
      </w:tr>
      <w:tr>
        <w:tc>
          <w:tcPr>
            <w:tcW w:type="dxa" w:w="5040"/>
            <w:vAlign w:val="center"/>
          </w:tcPr>
          <w:p>
            <w:r/>
            <w:r>
              <w:rPr>
                <w:b w:val="0"/>
                <w:sz w:val="18"/>
              </w:rPr>
              <w:t>Estimated work time</w:t>
            </w:r>
          </w:p>
        </w:tc>
        <w:tc>
          <w:tcPr>
            <w:tcW w:type="dxa" w:w="5040"/>
            <w:vAlign w:val="center"/>
          </w:tcPr>
          <w:p>
            <w:r/>
            <w:r>
              <w:rPr>
                <w:b w:val="0"/>
                <w:sz w:val="18"/>
              </w:rPr>
              <w:t>32 hours</w:t>
            </w:r>
          </w:p>
        </w:tc>
      </w:tr>
    </w:tbl>
    <w:p>
      <w:r>
        <w:br w:type="page"/>
      </w:r>
    </w:p>
    <w:p>
      <w:pPr>
        <w:pStyle w:val="Heading1"/>
      </w:pPr>
      <w:r>
        <w:t>1. Objective</w:t>
      </w:r>
    </w:p>
    <w:p>
      <w:r>
        <w:t>The objective of this task is to demonstrate a complete introductory data-preparation workflow: acquire a publicly available dataset, inspect its structure, clean and validate the data, perform exploratory data analysis (EDA), create meaningful visualizations, and document the reasoning behind each step. The Iris dataset was selected because it is small, well documented, publicly available, and contains both numerical measurements and a categorical target suitable for EDA.</w:t>
      </w:r>
    </w:p>
    <w:p>
      <w:pPr>
        <w:pStyle w:val="Heading1"/>
      </w:pPr>
      <w:r>
        <w:t>2. Data Acquisition</w:t>
      </w:r>
    </w:p>
    <w:p>
      <w:r>
        <w:t>The Iris dataset is a classic tabular dataset originally introduced by R. A. Fisher. The current UCI Machine Learning Repository entry lists 150 instances, four continuous features, and three iris classes. The repository also states that the dataset has no missing values and is licensed under CC BY 4.0. The dataset can be imported using the UCI repository interface or downloaded as iris.data.</w:t>
      </w:r>
    </w:p>
    <w:p>
      <w:r>
        <w:t>Dataset source:</w:t>
      </w:r>
    </w:p>
    <w:p>
      <w:r>
        <w:rPr>
          <w:u w:val="single"/>
        </w:rPr>
        <w:t>https://archive.ics.uci.edu/dataset/53/iris</w:t>
      </w:r>
    </w:p>
    <w:p>
      <w:r>
        <w:t>The report workflow uses the following five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
              <w:rPr>
                <w:b/>
                <w:sz w:val="18"/>
              </w:rPr>
              <w:t>Column</w:t>
            </w:r>
          </w:p>
        </w:tc>
        <w:tc>
          <w:tcPr>
            <w:tcW w:type="dxa" w:w="3360"/>
            <w:vAlign w:val="center"/>
            <w:shd w:fill="EDEDED"/>
          </w:tcPr>
          <w:p>
            <w:r/>
            <w:r>
              <w:rPr>
                <w:b/>
                <w:sz w:val="18"/>
              </w:rPr>
              <w:t>Type</w:t>
            </w:r>
          </w:p>
        </w:tc>
        <w:tc>
          <w:tcPr>
            <w:tcW w:type="dxa" w:w="3360"/>
            <w:vAlign w:val="center"/>
            <w:shd w:fill="EDEDED"/>
          </w:tcPr>
          <w:p>
            <w:r/>
            <w:r>
              <w:rPr>
                <w:b/>
                <w:sz w:val="18"/>
              </w:rPr>
              <w:t>Meaning</w:t>
            </w:r>
          </w:p>
        </w:tc>
      </w:tr>
      <w:tr>
        <w:tc>
          <w:tcPr>
            <w:tcW w:type="dxa" w:w="3360"/>
            <w:vAlign w:val="center"/>
          </w:tcPr>
          <w:p>
            <w:r/>
            <w:r>
              <w:rPr>
                <w:b w:val="0"/>
                <w:sz w:val="18"/>
              </w:rPr>
              <w:t>sepal_length</w:t>
            </w:r>
          </w:p>
        </w:tc>
        <w:tc>
          <w:tcPr>
            <w:tcW w:type="dxa" w:w="3360"/>
            <w:vAlign w:val="center"/>
          </w:tcPr>
          <w:p>
            <w:r/>
            <w:r>
              <w:rPr>
                <w:b w:val="0"/>
                <w:sz w:val="18"/>
              </w:rPr>
              <w:t>Numeric</w:t>
            </w:r>
          </w:p>
        </w:tc>
        <w:tc>
          <w:tcPr>
            <w:tcW w:type="dxa" w:w="3360"/>
            <w:vAlign w:val="center"/>
          </w:tcPr>
          <w:p>
            <w:r/>
            <w:r>
              <w:rPr>
                <w:b w:val="0"/>
                <w:sz w:val="18"/>
              </w:rPr>
              <w:t>Sepal length in cm</w:t>
            </w:r>
          </w:p>
        </w:tc>
      </w:tr>
      <w:tr>
        <w:tc>
          <w:tcPr>
            <w:tcW w:type="dxa" w:w="3360"/>
            <w:vAlign w:val="center"/>
          </w:tcPr>
          <w:p>
            <w:r/>
            <w:r>
              <w:rPr>
                <w:b w:val="0"/>
                <w:sz w:val="18"/>
              </w:rPr>
              <w:t>sepal_width</w:t>
            </w:r>
          </w:p>
        </w:tc>
        <w:tc>
          <w:tcPr>
            <w:tcW w:type="dxa" w:w="3360"/>
            <w:vAlign w:val="center"/>
          </w:tcPr>
          <w:p>
            <w:r/>
            <w:r>
              <w:rPr>
                <w:b w:val="0"/>
                <w:sz w:val="18"/>
              </w:rPr>
              <w:t>Numeric</w:t>
            </w:r>
          </w:p>
        </w:tc>
        <w:tc>
          <w:tcPr>
            <w:tcW w:type="dxa" w:w="3360"/>
            <w:vAlign w:val="center"/>
          </w:tcPr>
          <w:p>
            <w:r/>
            <w:r>
              <w:rPr>
                <w:b w:val="0"/>
                <w:sz w:val="18"/>
              </w:rPr>
              <w:t>Sepal width in cm</w:t>
            </w:r>
          </w:p>
        </w:tc>
      </w:tr>
      <w:tr>
        <w:tc>
          <w:tcPr>
            <w:tcW w:type="dxa" w:w="3360"/>
            <w:vAlign w:val="center"/>
          </w:tcPr>
          <w:p>
            <w:r/>
            <w:r>
              <w:rPr>
                <w:b w:val="0"/>
                <w:sz w:val="18"/>
              </w:rPr>
              <w:t>petal_length</w:t>
            </w:r>
          </w:p>
        </w:tc>
        <w:tc>
          <w:tcPr>
            <w:tcW w:type="dxa" w:w="3360"/>
            <w:vAlign w:val="center"/>
          </w:tcPr>
          <w:p>
            <w:r/>
            <w:r>
              <w:rPr>
                <w:b w:val="0"/>
                <w:sz w:val="18"/>
              </w:rPr>
              <w:t>Numeric</w:t>
            </w:r>
          </w:p>
        </w:tc>
        <w:tc>
          <w:tcPr>
            <w:tcW w:type="dxa" w:w="3360"/>
            <w:vAlign w:val="center"/>
          </w:tcPr>
          <w:p>
            <w:r/>
            <w:r>
              <w:rPr>
                <w:b w:val="0"/>
                <w:sz w:val="18"/>
              </w:rPr>
              <w:t>Petal length in cm</w:t>
            </w:r>
          </w:p>
        </w:tc>
      </w:tr>
      <w:tr>
        <w:tc>
          <w:tcPr>
            <w:tcW w:type="dxa" w:w="3360"/>
            <w:vAlign w:val="center"/>
          </w:tcPr>
          <w:p>
            <w:r/>
            <w:r>
              <w:rPr>
                <w:b w:val="0"/>
                <w:sz w:val="18"/>
              </w:rPr>
              <w:t>petal_width</w:t>
            </w:r>
          </w:p>
        </w:tc>
        <w:tc>
          <w:tcPr>
            <w:tcW w:type="dxa" w:w="3360"/>
            <w:vAlign w:val="center"/>
          </w:tcPr>
          <w:p>
            <w:r/>
            <w:r>
              <w:rPr>
                <w:b w:val="0"/>
                <w:sz w:val="18"/>
              </w:rPr>
              <w:t>Numeric</w:t>
            </w:r>
          </w:p>
        </w:tc>
        <w:tc>
          <w:tcPr>
            <w:tcW w:type="dxa" w:w="3360"/>
            <w:vAlign w:val="center"/>
          </w:tcPr>
          <w:p>
            <w:r/>
            <w:r>
              <w:rPr>
                <w:b w:val="0"/>
                <w:sz w:val="18"/>
              </w:rPr>
              <w:t>Petal width in cm</w:t>
            </w:r>
          </w:p>
        </w:tc>
      </w:tr>
      <w:tr>
        <w:tc>
          <w:tcPr>
            <w:tcW w:type="dxa" w:w="3360"/>
            <w:vAlign w:val="center"/>
          </w:tcPr>
          <w:p>
            <w:r/>
            <w:r>
              <w:rPr>
                <w:b w:val="0"/>
                <w:sz w:val="18"/>
              </w:rPr>
              <w:t>class</w:t>
            </w:r>
          </w:p>
        </w:tc>
        <w:tc>
          <w:tcPr>
            <w:tcW w:type="dxa" w:w="3360"/>
            <w:vAlign w:val="center"/>
          </w:tcPr>
          <w:p>
            <w:r/>
            <w:r>
              <w:rPr>
                <w:b w:val="0"/>
                <w:sz w:val="18"/>
              </w:rPr>
              <w:t>Categorical</w:t>
            </w:r>
          </w:p>
        </w:tc>
        <w:tc>
          <w:tcPr>
            <w:tcW w:type="dxa" w:w="3360"/>
            <w:vAlign w:val="center"/>
          </w:tcPr>
          <w:p>
            <w:r/>
            <w:r>
              <w:rPr>
                <w:b w:val="0"/>
                <w:sz w:val="18"/>
              </w:rPr>
              <w:t>Iris species: setosa, versicolor, virginica</w:t>
            </w:r>
          </w:p>
        </w:tc>
      </w:tr>
    </w:tbl>
    <w:p>
      <w:pPr>
        <w:pStyle w:val="Heading2"/>
      </w:pPr>
      <w:r>
        <w:t>2.1 Acquisition code</w:t>
      </w:r>
    </w:p>
    <w:p>
      <w:pPr>
        <w:ind w:left="360" w:right="360"/>
      </w:pPr>
      <w:r>
        <w:rPr>
          <w:rFonts w:ascii="Consolas" w:hAnsi="Consolas"/>
          <w:sz w:val="17"/>
        </w:rPr>
        <w:t>import pandas as pd</w:t>
        <w:br/>
        <w:br/>
        <w:t>url = "https://archive.ics.uci.edu/ml/machine-learning-databases/iris/iris.data"</w:t>
        <w:br/>
        <w:t>columns = ["sepal_length", "sepal_width", "petal_length",</w:t>
        <w:br/>
        <w:t xml:space="preserve">           "petal_width", "class"]</w:t>
        <w:br/>
        <w:br/>
        <w:t>df = pd.read_csv(url, names=columns)</w:t>
        <w:br/>
        <w:t>print(df.head())</w:t>
        <w:br/>
        <w:t>print(df.shape)</w:t>
      </w:r>
    </w:p>
    <w:p>
      <w:r>
        <w:t>For reproducibility, the final report also stores a local CSV copy of the dataset used for the analysis. The UCI page is the authoritative dataset reference, while the analysis below focuses on the 150-row Iris data structure.</w:t>
      </w:r>
    </w:p>
    <w:p>
      <w:pPr>
        <w:pStyle w:val="Heading1"/>
      </w:pPr>
      <w:r>
        <w:t>3. Initial Data Inspection</w:t>
      </w:r>
    </w:p>
    <w:p>
      <w:r>
        <w:t>The initial dataset contains 150 rows and 5 columns. The four measurement columns are numeric and the class column is categorical. A missing-value check found 0 missing cells. One duplicate row was detected during preprocessing.</w:t>
      </w:r>
    </w:p>
    <w:p>
      <w:pPr>
        <w:pStyle w:val="Heading2"/>
      </w:pPr>
      <w:r>
        <w:t>3.1 Inspection code</w:t>
      </w:r>
    </w:p>
    <w:p>
      <w:pPr>
        <w:ind w:left="360" w:right="360"/>
      </w:pPr>
      <w:r>
        <w:rPr>
          <w:rFonts w:ascii="Consolas" w:hAnsi="Consolas"/>
          <w:sz w:val="17"/>
        </w:rPr>
        <w:t>print(df.head())</w:t>
        <w:br/>
        <w:t>print(df.tail())</w:t>
        <w:br/>
        <w:t>print(df.shape)</w:t>
        <w:br/>
        <w:t>print(df.dtypes)</w:t>
        <w:br/>
        <w:t>print(df.isnull().sum())</w:t>
        <w:br/>
        <w:t>print(df.duplicated().sum())</w:t>
        <w:br/>
        <w:t>print(df.describe())</w:t>
      </w:r>
    </w:p>
    <w:p>
      <w:pPr>
        <w:pStyle w:val="Heading1"/>
      </w:pPr>
      <w:r>
        <w:t>4. Data Cleaning and Preprocessing</w:t>
      </w:r>
    </w:p>
    <w:p>
      <w:r>
        <w:t>The cleaning process was deliberately simple because the dataset is already relatively clean. First, text values in the class column were standardized with strip/lower operations. The four measurement columns were explicitly converted to numeric values with invalid values coerced to missing values. Missing values were then checked and would be imputed with the median for numeric columns and the mode for the categorical column if they were present. Finally, duplicate records were removed.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
              <w:rPr>
                <w:b/>
                <w:sz w:val="18"/>
              </w:rPr>
              <w:t>Check / action</w:t>
            </w:r>
          </w:p>
        </w:tc>
        <w:tc>
          <w:tcPr>
            <w:tcW w:type="dxa" w:w="3360"/>
            <w:vAlign w:val="center"/>
            <w:shd w:fill="EDEDED"/>
          </w:tcPr>
          <w:p>
            <w:r/>
            <w:r>
              <w:rPr>
                <w:b/>
                <w:sz w:val="18"/>
              </w:rPr>
              <w:t>Before</w:t>
            </w:r>
          </w:p>
        </w:tc>
        <w:tc>
          <w:tcPr>
            <w:tcW w:type="dxa" w:w="3360"/>
            <w:vAlign w:val="center"/>
            <w:shd w:fill="EDEDED"/>
          </w:tcPr>
          <w:p>
            <w:r/>
            <w:r>
              <w:rPr>
                <w:b/>
                <w:sz w:val="18"/>
              </w:rPr>
              <w:t>After / result</w:t>
            </w:r>
          </w:p>
        </w:tc>
      </w:tr>
      <w:tr>
        <w:tc>
          <w:tcPr>
            <w:tcW w:type="dxa" w:w="3360"/>
            <w:vAlign w:val="center"/>
          </w:tcPr>
          <w:p>
            <w:r/>
            <w:r>
              <w:rPr>
                <w:b w:val="0"/>
                <w:sz w:val="18"/>
              </w:rPr>
              <w:t>Rows</w:t>
            </w:r>
          </w:p>
        </w:tc>
        <w:tc>
          <w:tcPr>
            <w:tcW w:type="dxa" w:w="3360"/>
            <w:vAlign w:val="center"/>
          </w:tcPr>
          <w:p>
            <w:r/>
            <w:r>
              <w:rPr>
                <w:b w:val="0"/>
                <w:sz w:val="18"/>
              </w:rPr>
              <w:t>150</w:t>
            </w:r>
          </w:p>
        </w:tc>
        <w:tc>
          <w:tcPr>
            <w:tcW w:type="dxa" w:w="3360"/>
            <w:vAlign w:val="center"/>
          </w:tcPr>
          <w:p>
            <w:r/>
            <w:r>
              <w:rPr>
                <w:b w:val="0"/>
                <w:sz w:val="18"/>
              </w:rPr>
              <w:t>149</w:t>
            </w:r>
          </w:p>
        </w:tc>
      </w:tr>
      <w:tr>
        <w:tc>
          <w:tcPr>
            <w:tcW w:type="dxa" w:w="3360"/>
            <w:vAlign w:val="center"/>
          </w:tcPr>
          <w:p>
            <w:r/>
            <w:r>
              <w:rPr>
                <w:b w:val="0"/>
                <w:sz w:val="18"/>
              </w:rPr>
              <w:t>Columns</w:t>
            </w:r>
          </w:p>
        </w:tc>
        <w:tc>
          <w:tcPr>
            <w:tcW w:type="dxa" w:w="3360"/>
            <w:vAlign w:val="center"/>
          </w:tcPr>
          <w:p>
            <w:r/>
            <w:r>
              <w:rPr>
                <w:b w:val="0"/>
                <w:sz w:val="18"/>
              </w:rPr>
              <w:t>5</w:t>
            </w:r>
          </w:p>
        </w:tc>
        <w:tc>
          <w:tcPr>
            <w:tcW w:type="dxa" w:w="3360"/>
            <w:vAlign w:val="center"/>
          </w:tcPr>
          <w:p>
            <w:r/>
            <w:r>
              <w:rPr>
                <w:b w:val="0"/>
                <w:sz w:val="18"/>
              </w:rPr>
              <w:t>5</w:t>
            </w:r>
          </w:p>
        </w:tc>
      </w:tr>
      <w:tr>
        <w:tc>
          <w:tcPr>
            <w:tcW w:type="dxa" w:w="3360"/>
            <w:vAlign w:val="center"/>
          </w:tcPr>
          <w:p>
            <w:r/>
            <w:r>
              <w:rPr>
                <w:b w:val="0"/>
                <w:sz w:val="18"/>
              </w:rPr>
              <w:t>Missing cells</w:t>
            </w:r>
          </w:p>
        </w:tc>
        <w:tc>
          <w:tcPr>
            <w:tcW w:type="dxa" w:w="3360"/>
            <w:vAlign w:val="center"/>
          </w:tcPr>
          <w:p>
            <w:r/>
            <w:r>
              <w:rPr>
                <w:b w:val="0"/>
                <w:sz w:val="18"/>
              </w:rPr>
              <w:t>0</w:t>
            </w:r>
          </w:p>
        </w:tc>
        <w:tc>
          <w:tcPr>
            <w:tcW w:type="dxa" w:w="3360"/>
            <w:vAlign w:val="center"/>
          </w:tcPr>
          <w:p>
            <w:r/>
            <w:r>
              <w:rPr>
                <w:b w:val="0"/>
                <w:sz w:val="18"/>
              </w:rPr>
              <w:t>0</w:t>
            </w:r>
          </w:p>
        </w:tc>
      </w:tr>
      <w:tr>
        <w:tc>
          <w:tcPr>
            <w:tcW w:type="dxa" w:w="3360"/>
            <w:vAlign w:val="center"/>
          </w:tcPr>
          <w:p>
            <w:r/>
            <w:r>
              <w:rPr>
                <w:b w:val="0"/>
                <w:sz w:val="18"/>
              </w:rPr>
              <w:t>Duplicate rows</w:t>
            </w:r>
          </w:p>
        </w:tc>
        <w:tc>
          <w:tcPr>
            <w:tcW w:type="dxa" w:w="3360"/>
            <w:vAlign w:val="center"/>
          </w:tcPr>
          <w:p>
            <w:r/>
            <w:r>
              <w:rPr>
                <w:b w:val="0"/>
                <w:sz w:val="18"/>
              </w:rPr>
              <w:t>1</w:t>
            </w:r>
          </w:p>
        </w:tc>
        <w:tc>
          <w:tcPr>
            <w:tcW w:type="dxa" w:w="3360"/>
            <w:vAlign w:val="center"/>
          </w:tcPr>
          <w:p>
            <w:r/>
            <w:r>
              <w:rPr>
                <w:b w:val="0"/>
                <w:sz w:val="18"/>
              </w:rPr>
              <w:t>1 removed</w:t>
            </w:r>
          </w:p>
        </w:tc>
      </w:tr>
      <w:tr>
        <w:tc>
          <w:tcPr>
            <w:tcW w:type="dxa" w:w="3360"/>
            <w:vAlign w:val="center"/>
          </w:tcPr>
          <w:p>
            <w:r/>
            <w:r>
              <w:rPr>
                <w:b w:val="0"/>
                <w:sz w:val="18"/>
              </w:rPr>
              <w:t>Numeric conversion</w:t>
            </w:r>
          </w:p>
        </w:tc>
        <w:tc>
          <w:tcPr>
            <w:tcW w:type="dxa" w:w="3360"/>
            <w:vAlign w:val="center"/>
          </w:tcPr>
          <w:p>
            <w:r/>
            <w:r>
              <w:rPr>
                <w:b w:val="0"/>
                <w:sz w:val="18"/>
              </w:rPr>
              <w:t>4 measurement fields</w:t>
            </w:r>
          </w:p>
        </w:tc>
        <w:tc>
          <w:tcPr>
            <w:tcW w:type="dxa" w:w="3360"/>
            <w:vAlign w:val="center"/>
          </w:tcPr>
          <w:p>
            <w:r/>
            <w:r>
              <w:rPr>
                <w:b w:val="0"/>
                <w:sz w:val="18"/>
              </w:rPr>
              <w:t>Validated as numeric</w:t>
            </w:r>
          </w:p>
        </w:tc>
      </w:tr>
      <w:tr>
        <w:tc>
          <w:tcPr>
            <w:tcW w:type="dxa" w:w="3360"/>
            <w:vAlign w:val="center"/>
          </w:tcPr>
          <w:p>
            <w:r/>
            <w:r>
              <w:rPr>
                <w:b w:val="0"/>
                <w:sz w:val="18"/>
              </w:rPr>
              <w:t>Class values</w:t>
            </w:r>
          </w:p>
        </w:tc>
        <w:tc>
          <w:tcPr>
            <w:tcW w:type="dxa" w:w="3360"/>
            <w:vAlign w:val="center"/>
          </w:tcPr>
          <w:p>
            <w:r/>
            <w:r>
              <w:rPr>
                <w:b w:val="0"/>
                <w:sz w:val="18"/>
              </w:rPr>
              <w:t>Text labels</w:t>
            </w:r>
          </w:p>
        </w:tc>
        <w:tc>
          <w:tcPr>
            <w:tcW w:type="dxa" w:w="3360"/>
            <w:vAlign w:val="center"/>
          </w:tcPr>
          <w:p>
            <w:r/>
            <w:r>
              <w:rPr>
                <w:b w:val="0"/>
                <w:sz w:val="18"/>
              </w:rPr>
              <w:t>Standardized lowercase labels</w:t>
            </w:r>
          </w:p>
        </w:tc>
      </w:tr>
    </w:tbl>
    <w:p>
      <w:pPr>
        <w:pStyle w:val="Heading2"/>
      </w:pPr>
      <w:r>
        <w:t>4.1 Cleaning code</w:t>
      </w:r>
    </w:p>
    <w:p>
      <w:pPr>
        <w:ind w:left="360" w:right="360"/>
      </w:pPr>
      <w:r>
        <w:rPr>
          <w:rFonts w:ascii="Consolas" w:hAnsi="Consolas"/>
          <w:sz w:val="17"/>
        </w:rPr>
        <w:t>clean = df.copy()</w:t>
        <w:br/>
        <w:br/>
        <w:t>clean["class"] = clean["class"].astype(str).str.strip().str.lower()</w:t>
        <w:br/>
        <w:br/>
        <w:t>numeric_cols = [</w:t>
        <w:br/>
        <w:t xml:space="preserve">    "sepal_length", "sepal_width",</w:t>
        <w:br/>
        <w:t xml:space="preserve">    "petal_length", "petal_width"</w:t>
        <w:br/>
        <w:t>]</w:t>
        <w:br/>
        <w:br/>
        <w:t>for col in numeric_cols:</w:t>
        <w:br/>
        <w:t xml:space="preserve">    clean[col] = pd.to_numeric(clean[col], errors="coerce")</w:t>
        <w:br/>
        <w:br/>
        <w:t>for col in numeric_cols:</w:t>
        <w:br/>
        <w:t xml:space="preserve">    if clean[col].isna().any():</w:t>
        <w:br/>
        <w:t xml:space="preserve">        clean[col] = clean[col].fillna(clean[col].median())</w:t>
        <w:br/>
        <w:br/>
        <w:t>if clean["class"].isna().any():</w:t>
        <w:br/>
        <w:t xml:space="preserve">    clean["class"] = clean["class"].fillna(clean["class"].mode()[0])</w:t>
        <w:br/>
        <w:br/>
        <w:t>clean = clean.drop_duplicates().reset_index(drop=True)</w:t>
      </w:r>
    </w:p>
    <w:p>
      <w:r>
        <w:t>After preprocessing, the working dataset contains 149 unique records. No missing values remained, and the measurement fields were ready for statistical analysis and visualization.</w:t>
      </w:r>
    </w:p>
    <w:p>
      <w:pPr>
        <w:pStyle w:val="Heading1"/>
      </w:pPr>
      <w:r>
        <w:t>5. Exploratory Data Analysis</w:t>
      </w:r>
    </w:p>
    <w:p>
      <w:r>
        <w:t>EDA was performed using descriptive statistics, class-wise summaries, distribution plots, a scatter plot, and a correlation matrix. The purpose was to identify differences among the three classes and relationships between the measured flower dimensions.</w:t>
      </w:r>
    </w:p>
    <w:p>
      <w:pPr>
        <w:pStyle w:val="Heading2"/>
      </w:pPr>
      <w:r>
        <w:t>5.1 Descriptive statistics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DEDED"/>
          </w:tcPr>
          <w:p>
            <w:r/>
            <w:r>
              <w:rPr>
                <w:b/>
                <w:sz w:val="18"/>
              </w:rPr>
              <w:t>Statistic</w:t>
            </w:r>
          </w:p>
        </w:tc>
        <w:tc>
          <w:tcPr>
            <w:tcW w:type="dxa" w:w="2016"/>
            <w:vAlign w:val="center"/>
            <w:shd w:fill="EDEDED"/>
          </w:tcPr>
          <w:p>
            <w:r/>
            <w:r>
              <w:rPr>
                <w:b/>
                <w:sz w:val="18"/>
              </w:rPr>
              <w:t>sepal_length</w:t>
            </w:r>
          </w:p>
        </w:tc>
        <w:tc>
          <w:tcPr>
            <w:tcW w:type="dxa" w:w="2016"/>
            <w:vAlign w:val="center"/>
            <w:shd w:fill="EDEDED"/>
          </w:tcPr>
          <w:p>
            <w:r/>
            <w:r>
              <w:rPr>
                <w:b/>
                <w:sz w:val="18"/>
              </w:rPr>
              <w:t>sepal_width</w:t>
            </w:r>
          </w:p>
        </w:tc>
        <w:tc>
          <w:tcPr>
            <w:tcW w:type="dxa" w:w="2016"/>
            <w:vAlign w:val="center"/>
            <w:shd w:fill="EDEDED"/>
          </w:tcPr>
          <w:p>
            <w:r/>
            <w:r>
              <w:rPr>
                <w:b/>
                <w:sz w:val="18"/>
              </w:rPr>
              <w:t>petal_length</w:t>
            </w:r>
          </w:p>
        </w:tc>
        <w:tc>
          <w:tcPr>
            <w:tcW w:type="dxa" w:w="2016"/>
            <w:vAlign w:val="center"/>
            <w:shd w:fill="EDEDED"/>
          </w:tcPr>
          <w:p>
            <w:r/>
            <w:r>
              <w:rPr>
                <w:b/>
                <w:sz w:val="18"/>
              </w:rPr>
              <w:t>petal_width</w:t>
            </w:r>
          </w:p>
        </w:tc>
      </w:tr>
      <w:tr>
        <w:tc>
          <w:tcPr>
            <w:tcW w:type="dxa" w:w="2016"/>
            <w:vAlign w:val="center"/>
          </w:tcPr>
          <w:p>
            <w:r/>
            <w:r>
              <w:rPr>
                <w:b w:val="0"/>
                <w:sz w:val="18"/>
              </w:rPr>
              <w:t>mean</w:t>
            </w:r>
          </w:p>
        </w:tc>
        <w:tc>
          <w:tcPr>
            <w:tcW w:type="dxa" w:w="2016"/>
            <w:vAlign w:val="center"/>
          </w:tcPr>
          <w:p>
            <w:r/>
            <w:r>
              <w:rPr>
                <w:b w:val="0"/>
                <w:sz w:val="18"/>
              </w:rPr>
              <w:t>5.844</w:t>
            </w:r>
          </w:p>
        </w:tc>
        <w:tc>
          <w:tcPr>
            <w:tcW w:type="dxa" w:w="2016"/>
            <w:vAlign w:val="center"/>
          </w:tcPr>
          <w:p>
            <w:r/>
            <w:r>
              <w:rPr>
                <w:b w:val="0"/>
                <w:sz w:val="18"/>
              </w:rPr>
              <w:t>3.060</w:t>
            </w:r>
          </w:p>
        </w:tc>
        <w:tc>
          <w:tcPr>
            <w:tcW w:type="dxa" w:w="2016"/>
            <w:vAlign w:val="center"/>
          </w:tcPr>
          <w:p>
            <w:r/>
            <w:r>
              <w:rPr>
                <w:b w:val="0"/>
                <w:sz w:val="18"/>
              </w:rPr>
              <w:t>3.749</w:t>
            </w:r>
          </w:p>
        </w:tc>
        <w:tc>
          <w:tcPr>
            <w:tcW w:type="dxa" w:w="2016"/>
            <w:vAlign w:val="center"/>
          </w:tcPr>
          <w:p>
            <w:r/>
            <w:r>
              <w:rPr>
                <w:b w:val="0"/>
                <w:sz w:val="18"/>
              </w:rPr>
              <w:t>1.195</w:t>
            </w:r>
          </w:p>
        </w:tc>
      </w:tr>
      <w:tr>
        <w:tc>
          <w:tcPr>
            <w:tcW w:type="dxa" w:w="2016"/>
            <w:vAlign w:val="center"/>
          </w:tcPr>
          <w:p>
            <w:r/>
            <w:r>
              <w:rPr>
                <w:b w:val="0"/>
                <w:sz w:val="18"/>
              </w:rPr>
              <w:t>std</w:t>
            </w:r>
          </w:p>
        </w:tc>
        <w:tc>
          <w:tcPr>
            <w:tcW w:type="dxa" w:w="2016"/>
            <w:vAlign w:val="center"/>
          </w:tcPr>
          <w:p>
            <w:r/>
            <w:r>
              <w:rPr>
                <w:b w:val="0"/>
                <w:sz w:val="18"/>
              </w:rPr>
              <w:t>0.831</w:t>
            </w:r>
          </w:p>
        </w:tc>
        <w:tc>
          <w:tcPr>
            <w:tcW w:type="dxa" w:w="2016"/>
            <w:vAlign w:val="center"/>
          </w:tcPr>
          <w:p>
            <w:r/>
            <w:r>
              <w:rPr>
                <w:b w:val="0"/>
                <w:sz w:val="18"/>
              </w:rPr>
              <w:t>0.436</w:t>
            </w:r>
          </w:p>
        </w:tc>
        <w:tc>
          <w:tcPr>
            <w:tcW w:type="dxa" w:w="2016"/>
            <w:vAlign w:val="center"/>
          </w:tcPr>
          <w:p>
            <w:r/>
            <w:r>
              <w:rPr>
                <w:b w:val="0"/>
                <w:sz w:val="18"/>
              </w:rPr>
              <w:t>1.768</w:t>
            </w:r>
          </w:p>
        </w:tc>
        <w:tc>
          <w:tcPr>
            <w:tcW w:type="dxa" w:w="2016"/>
            <w:vAlign w:val="center"/>
          </w:tcPr>
          <w:p>
            <w:r/>
            <w:r>
              <w:rPr>
                <w:b w:val="0"/>
                <w:sz w:val="18"/>
              </w:rPr>
              <w:t>0.763</w:t>
            </w:r>
          </w:p>
        </w:tc>
      </w:tr>
      <w:tr>
        <w:tc>
          <w:tcPr>
            <w:tcW w:type="dxa" w:w="2016"/>
            <w:vAlign w:val="center"/>
          </w:tcPr>
          <w:p>
            <w:r/>
            <w:r>
              <w:rPr>
                <w:b w:val="0"/>
                <w:sz w:val="18"/>
              </w:rPr>
              <w:t>min</w:t>
            </w:r>
          </w:p>
        </w:tc>
        <w:tc>
          <w:tcPr>
            <w:tcW w:type="dxa" w:w="2016"/>
            <w:vAlign w:val="center"/>
          </w:tcPr>
          <w:p>
            <w:r/>
            <w:r>
              <w:rPr>
                <w:b w:val="0"/>
                <w:sz w:val="18"/>
              </w:rPr>
              <w:t>4.300</w:t>
            </w:r>
          </w:p>
        </w:tc>
        <w:tc>
          <w:tcPr>
            <w:tcW w:type="dxa" w:w="2016"/>
            <w:vAlign w:val="center"/>
          </w:tcPr>
          <w:p>
            <w:r/>
            <w:r>
              <w:rPr>
                <w:b w:val="0"/>
                <w:sz w:val="18"/>
              </w:rPr>
              <w:t>2.000</w:t>
            </w:r>
          </w:p>
        </w:tc>
        <w:tc>
          <w:tcPr>
            <w:tcW w:type="dxa" w:w="2016"/>
            <w:vAlign w:val="center"/>
          </w:tcPr>
          <w:p>
            <w:r/>
            <w:r>
              <w:rPr>
                <w:b w:val="0"/>
                <w:sz w:val="18"/>
              </w:rPr>
              <w:t>1.000</w:t>
            </w:r>
          </w:p>
        </w:tc>
        <w:tc>
          <w:tcPr>
            <w:tcW w:type="dxa" w:w="2016"/>
            <w:vAlign w:val="center"/>
          </w:tcPr>
          <w:p>
            <w:r/>
            <w:r>
              <w:rPr>
                <w:b w:val="0"/>
                <w:sz w:val="18"/>
              </w:rPr>
              <w:t>0.100</w:t>
            </w:r>
          </w:p>
        </w:tc>
      </w:tr>
      <w:tr>
        <w:tc>
          <w:tcPr>
            <w:tcW w:type="dxa" w:w="2016"/>
            <w:vAlign w:val="center"/>
          </w:tcPr>
          <w:p>
            <w:r/>
            <w:r>
              <w:rPr>
                <w:b w:val="0"/>
                <w:sz w:val="18"/>
              </w:rPr>
              <w:t>50%</w:t>
            </w:r>
          </w:p>
        </w:tc>
        <w:tc>
          <w:tcPr>
            <w:tcW w:type="dxa" w:w="2016"/>
            <w:vAlign w:val="center"/>
          </w:tcPr>
          <w:p>
            <w:r/>
            <w:r>
              <w:rPr>
                <w:b w:val="0"/>
                <w:sz w:val="18"/>
              </w:rPr>
              <w:t>5.800</w:t>
            </w:r>
          </w:p>
        </w:tc>
        <w:tc>
          <w:tcPr>
            <w:tcW w:type="dxa" w:w="2016"/>
            <w:vAlign w:val="center"/>
          </w:tcPr>
          <w:p>
            <w:r/>
            <w:r>
              <w:rPr>
                <w:b w:val="0"/>
                <w:sz w:val="18"/>
              </w:rPr>
              <w:t>3.000</w:t>
            </w:r>
          </w:p>
        </w:tc>
        <w:tc>
          <w:tcPr>
            <w:tcW w:type="dxa" w:w="2016"/>
            <w:vAlign w:val="center"/>
          </w:tcPr>
          <w:p>
            <w:r/>
            <w:r>
              <w:rPr>
                <w:b w:val="0"/>
                <w:sz w:val="18"/>
              </w:rPr>
              <w:t>4.300</w:t>
            </w:r>
          </w:p>
        </w:tc>
        <w:tc>
          <w:tcPr>
            <w:tcW w:type="dxa" w:w="2016"/>
            <w:vAlign w:val="center"/>
          </w:tcPr>
          <w:p>
            <w:r/>
            <w:r>
              <w:rPr>
                <w:b w:val="0"/>
                <w:sz w:val="18"/>
              </w:rPr>
              <w:t>1.300</w:t>
            </w:r>
          </w:p>
        </w:tc>
      </w:tr>
      <w:tr>
        <w:tc>
          <w:tcPr>
            <w:tcW w:type="dxa" w:w="2016"/>
            <w:vAlign w:val="center"/>
          </w:tcPr>
          <w:p>
            <w:r/>
            <w:r>
              <w:rPr>
                <w:b w:val="0"/>
                <w:sz w:val="18"/>
              </w:rPr>
              <w:t>max</w:t>
            </w:r>
          </w:p>
        </w:tc>
        <w:tc>
          <w:tcPr>
            <w:tcW w:type="dxa" w:w="2016"/>
            <w:vAlign w:val="center"/>
          </w:tcPr>
          <w:p>
            <w:r/>
            <w:r>
              <w:rPr>
                <w:b w:val="0"/>
                <w:sz w:val="18"/>
              </w:rPr>
              <w:t>7.900</w:t>
            </w:r>
          </w:p>
        </w:tc>
        <w:tc>
          <w:tcPr>
            <w:tcW w:type="dxa" w:w="2016"/>
            <w:vAlign w:val="center"/>
          </w:tcPr>
          <w:p>
            <w:r/>
            <w:r>
              <w:rPr>
                <w:b w:val="0"/>
                <w:sz w:val="18"/>
              </w:rPr>
              <w:t>4.400</w:t>
            </w:r>
          </w:p>
        </w:tc>
        <w:tc>
          <w:tcPr>
            <w:tcW w:type="dxa" w:w="2016"/>
            <w:vAlign w:val="center"/>
          </w:tcPr>
          <w:p>
            <w:r/>
            <w:r>
              <w:rPr>
                <w:b w:val="0"/>
                <w:sz w:val="18"/>
              </w:rPr>
              <w:t>6.900</w:t>
            </w:r>
          </w:p>
        </w:tc>
        <w:tc>
          <w:tcPr>
            <w:tcW w:type="dxa" w:w="2016"/>
            <w:vAlign w:val="center"/>
          </w:tcPr>
          <w:p>
            <w:r/>
            <w:r>
              <w:rPr>
                <w:b w:val="0"/>
                <w:sz w:val="18"/>
              </w:rPr>
              <w:t>2.500</w:t>
            </w:r>
          </w:p>
        </w:tc>
      </w:tr>
    </w:tbl>
    <w:p>
      <w:pPr>
        <w:pStyle w:val="Heading2"/>
      </w:pPr>
      <w:r>
        <w:t>5.2 Class-wise means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DEDED"/>
          </w:tcPr>
          <w:p>
            <w:r/>
            <w:r>
              <w:rPr>
                <w:b/>
                <w:sz w:val="18"/>
              </w:rPr>
              <w:t>Class</w:t>
            </w:r>
          </w:p>
        </w:tc>
        <w:tc>
          <w:tcPr>
            <w:tcW w:type="dxa" w:w="2016"/>
            <w:vAlign w:val="center"/>
            <w:shd w:fill="EDEDED"/>
          </w:tcPr>
          <w:p>
            <w:r/>
            <w:r>
              <w:rPr>
                <w:b/>
                <w:sz w:val="18"/>
              </w:rPr>
              <w:t>sepal_length</w:t>
            </w:r>
          </w:p>
        </w:tc>
        <w:tc>
          <w:tcPr>
            <w:tcW w:type="dxa" w:w="2016"/>
            <w:vAlign w:val="center"/>
            <w:shd w:fill="EDEDED"/>
          </w:tcPr>
          <w:p>
            <w:r/>
            <w:r>
              <w:rPr>
                <w:b/>
                <w:sz w:val="18"/>
              </w:rPr>
              <w:t>sepal_width</w:t>
            </w:r>
          </w:p>
        </w:tc>
        <w:tc>
          <w:tcPr>
            <w:tcW w:type="dxa" w:w="2016"/>
            <w:vAlign w:val="center"/>
            <w:shd w:fill="EDEDED"/>
          </w:tcPr>
          <w:p>
            <w:r/>
            <w:r>
              <w:rPr>
                <w:b/>
                <w:sz w:val="18"/>
              </w:rPr>
              <w:t>petal_length</w:t>
            </w:r>
          </w:p>
        </w:tc>
        <w:tc>
          <w:tcPr>
            <w:tcW w:type="dxa" w:w="2016"/>
            <w:vAlign w:val="center"/>
            <w:shd w:fill="EDEDED"/>
          </w:tcPr>
          <w:p>
            <w:r/>
            <w:r>
              <w:rPr>
                <w:b/>
                <w:sz w:val="18"/>
              </w:rPr>
              <w:t>petal_width</w:t>
            </w:r>
          </w:p>
        </w:tc>
      </w:tr>
      <w:tr>
        <w:tc>
          <w:tcPr>
            <w:tcW w:type="dxa" w:w="2016"/>
            <w:vAlign w:val="center"/>
          </w:tcPr>
          <w:p>
            <w:r/>
            <w:r>
              <w:rPr>
                <w:b w:val="0"/>
                <w:sz w:val="18"/>
              </w:rPr>
              <w:t>setosa</w:t>
            </w:r>
          </w:p>
        </w:tc>
        <w:tc>
          <w:tcPr>
            <w:tcW w:type="dxa" w:w="2016"/>
            <w:vAlign w:val="center"/>
          </w:tcPr>
          <w:p>
            <w:r/>
            <w:r>
              <w:rPr>
                <w:b w:val="0"/>
                <w:sz w:val="18"/>
              </w:rPr>
              <w:t>5.006</w:t>
            </w:r>
          </w:p>
        </w:tc>
        <w:tc>
          <w:tcPr>
            <w:tcW w:type="dxa" w:w="2016"/>
            <w:vAlign w:val="center"/>
          </w:tcPr>
          <w:p>
            <w:r/>
            <w:r>
              <w:rPr>
                <w:b w:val="0"/>
                <w:sz w:val="18"/>
              </w:rPr>
              <w:t>3.428</w:t>
            </w:r>
          </w:p>
        </w:tc>
        <w:tc>
          <w:tcPr>
            <w:tcW w:type="dxa" w:w="2016"/>
            <w:vAlign w:val="center"/>
          </w:tcPr>
          <w:p>
            <w:r/>
            <w:r>
              <w:rPr>
                <w:b w:val="0"/>
                <w:sz w:val="18"/>
              </w:rPr>
              <w:t>1.462</w:t>
            </w:r>
          </w:p>
        </w:tc>
        <w:tc>
          <w:tcPr>
            <w:tcW w:type="dxa" w:w="2016"/>
            <w:vAlign w:val="center"/>
          </w:tcPr>
          <w:p>
            <w:r/>
            <w:r>
              <w:rPr>
                <w:b w:val="0"/>
                <w:sz w:val="18"/>
              </w:rPr>
              <w:t>0.246</w:t>
            </w:r>
          </w:p>
        </w:tc>
      </w:tr>
      <w:tr>
        <w:tc>
          <w:tcPr>
            <w:tcW w:type="dxa" w:w="2016"/>
            <w:vAlign w:val="center"/>
          </w:tcPr>
          <w:p>
            <w:r/>
            <w:r>
              <w:rPr>
                <w:b w:val="0"/>
                <w:sz w:val="18"/>
              </w:rPr>
              <w:t>versicolor</w:t>
            </w:r>
          </w:p>
        </w:tc>
        <w:tc>
          <w:tcPr>
            <w:tcW w:type="dxa" w:w="2016"/>
            <w:vAlign w:val="center"/>
          </w:tcPr>
          <w:p>
            <w:r/>
            <w:r>
              <w:rPr>
                <w:b w:val="0"/>
                <w:sz w:val="18"/>
              </w:rPr>
              <w:t>5.936</w:t>
            </w:r>
          </w:p>
        </w:tc>
        <w:tc>
          <w:tcPr>
            <w:tcW w:type="dxa" w:w="2016"/>
            <w:vAlign w:val="center"/>
          </w:tcPr>
          <w:p>
            <w:r/>
            <w:r>
              <w:rPr>
                <w:b w:val="0"/>
                <w:sz w:val="18"/>
              </w:rPr>
              <w:t>2.770</w:t>
            </w:r>
          </w:p>
        </w:tc>
        <w:tc>
          <w:tcPr>
            <w:tcW w:type="dxa" w:w="2016"/>
            <w:vAlign w:val="center"/>
          </w:tcPr>
          <w:p>
            <w:r/>
            <w:r>
              <w:rPr>
                <w:b w:val="0"/>
                <w:sz w:val="18"/>
              </w:rPr>
              <w:t>4.260</w:t>
            </w:r>
          </w:p>
        </w:tc>
        <w:tc>
          <w:tcPr>
            <w:tcW w:type="dxa" w:w="2016"/>
            <w:vAlign w:val="center"/>
          </w:tcPr>
          <w:p>
            <w:r/>
            <w:r>
              <w:rPr>
                <w:b w:val="0"/>
                <w:sz w:val="18"/>
              </w:rPr>
              <w:t>1.326</w:t>
            </w:r>
          </w:p>
        </w:tc>
      </w:tr>
      <w:tr>
        <w:tc>
          <w:tcPr>
            <w:tcW w:type="dxa" w:w="2016"/>
            <w:vAlign w:val="center"/>
          </w:tcPr>
          <w:p>
            <w:r/>
            <w:r>
              <w:rPr>
                <w:b w:val="0"/>
                <w:sz w:val="18"/>
              </w:rPr>
              <w:t>virginica</w:t>
            </w:r>
          </w:p>
        </w:tc>
        <w:tc>
          <w:tcPr>
            <w:tcW w:type="dxa" w:w="2016"/>
            <w:vAlign w:val="center"/>
          </w:tcPr>
          <w:p>
            <w:r/>
            <w:r>
              <w:rPr>
                <w:b w:val="0"/>
                <w:sz w:val="18"/>
              </w:rPr>
              <w:t>6.604</w:t>
            </w:r>
          </w:p>
        </w:tc>
        <w:tc>
          <w:tcPr>
            <w:tcW w:type="dxa" w:w="2016"/>
            <w:vAlign w:val="center"/>
          </w:tcPr>
          <w:p>
            <w:r/>
            <w:r>
              <w:rPr>
                <w:b w:val="0"/>
                <w:sz w:val="18"/>
              </w:rPr>
              <w:t>2.980</w:t>
            </w:r>
          </w:p>
        </w:tc>
        <w:tc>
          <w:tcPr>
            <w:tcW w:type="dxa" w:w="2016"/>
            <w:vAlign w:val="center"/>
          </w:tcPr>
          <w:p>
            <w:r/>
            <w:r>
              <w:rPr>
                <w:b w:val="0"/>
                <w:sz w:val="18"/>
              </w:rPr>
              <w:t>5.561</w:t>
            </w:r>
          </w:p>
        </w:tc>
        <w:tc>
          <w:tcPr>
            <w:tcW w:type="dxa" w:w="2016"/>
            <w:vAlign w:val="center"/>
          </w:tcPr>
          <w:p>
            <w:r/>
            <w:r>
              <w:rPr>
                <w:b w:val="0"/>
                <w:sz w:val="18"/>
              </w:rPr>
              <w:t>2.029</w:t>
            </w:r>
          </w:p>
        </w:tc>
      </w:tr>
    </w:tbl>
    <w:p>
      <w:pPr>
        <w:pStyle w:val="Heading1"/>
      </w:pPr>
      <w:r>
        <w:t>6. Visualizations and Observations</w:t>
      </w:r>
    </w:p>
    <w:p>
      <w:r>
        <w:t>Visualization 1 — Class distribution</w:t>
      </w:r>
    </w:p>
    <w:p>
      <w:pPr>
        <w:jc w:val="center"/>
      </w:pPr>
      <w:r>
        <w:drawing>
          <wp:inline xmlns:a="http://schemas.openxmlformats.org/drawingml/2006/main" xmlns:pic="http://schemas.openxmlformats.org/drawingml/2006/picture">
            <wp:extent cx="6035040" cy="3655024"/>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6035040" cy="3655024"/>
                    </a:xfrm>
                    <a:prstGeom prst="rect"/>
                  </pic:spPr>
                </pic:pic>
              </a:graphicData>
            </a:graphic>
          </wp:inline>
        </w:drawing>
      </w:r>
    </w:p>
    <w:p>
      <w:r>
        <w:t>Observation: the three classes are represented almost equally. The original Iris dataset contains 50 examples of each class; duplicate removal changes the total unique-record count but does not remove an entire class.</w:t>
      </w:r>
    </w:p>
    <w:p>
      <w:r>
        <w:t>Visualization 2 — Petal length distribution by class</w:t>
      </w:r>
    </w:p>
    <w:p>
      <w:pPr>
        <w:jc w:val="center"/>
      </w:pPr>
      <w:r>
        <w:drawing>
          <wp:inline xmlns:a="http://schemas.openxmlformats.org/drawingml/2006/main" xmlns:pic="http://schemas.openxmlformats.org/drawingml/2006/picture">
            <wp:extent cx="6035040" cy="3655024"/>
            <wp:docPr id="2" name="Picture 2"/>
            <wp:cNvGraphicFramePr>
              <a:graphicFrameLocks noChangeAspect="1"/>
            </wp:cNvGraphicFramePr>
            <a:graphic>
              <a:graphicData uri="http://schemas.openxmlformats.org/drawingml/2006/picture">
                <pic:pic>
                  <pic:nvPicPr>
                    <pic:cNvPr id="0" name="02_petal_length_boxplot.png"/>
                    <pic:cNvPicPr/>
                  </pic:nvPicPr>
                  <pic:blipFill>
                    <a:blip r:embed="rId10"/>
                    <a:stretch>
                      <a:fillRect/>
                    </a:stretch>
                  </pic:blipFill>
                  <pic:spPr>
                    <a:xfrm>
                      <a:off x="0" y="0"/>
                      <a:ext cx="6035040" cy="3655024"/>
                    </a:xfrm>
                    <a:prstGeom prst="rect"/>
                  </pic:spPr>
                </pic:pic>
              </a:graphicData>
            </a:graphic>
          </wp:inline>
        </w:drawing>
      </w:r>
    </w:p>
    <w:p>
      <w:r>
        <w:t>Observation: setosa has substantially shorter petals than versicolor and virginica. The versicolor and virginica distributions are higher and overlap more than setosa does with either of them.</w:t>
      </w:r>
    </w:p>
    <w:p>
      <w:r>
        <w:t>Visualization 3 — Petal length versus petal width</w:t>
      </w:r>
    </w:p>
    <w:p>
      <w:pPr>
        <w:jc w:val="center"/>
      </w:pPr>
      <w:r>
        <w:drawing>
          <wp:inline xmlns:a="http://schemas.openxmlformats.org/drawingml/2006/main" xmlns:pic="http://schemas.openxmlformats.org/drawingml/2006/picture">
            <wp:extent cx="6035040" cy="3655024"/>
            <wp:docPr id="3" name="Picture 3"/>
            <wp:cNvGraphicFramePr>
              <a:graphicFrameLocks noChangeAspect="1"/>
            </wp:cNvGraphicFramePr>
            <a:graphic>
              <a:graphicData uri="http://schemas.openxmlformats.org/drawingml/2006/picture">
                <pic:pic>
                  <pic:nvPicPr>
                    <pic:cNvPr id="0" name="03_petal_scatter.png"/>
                    <pic:cNvPicPr/>
                  </pic:nvPicPr>
                  <pic:blipFill>
                    <a:blip r:embed="rId11"/>
                    <a:stretch>
                      <a:fillRect/>
                    </a:stretch>
                  </pic:blipFill>
                  <pic:spPr>
                    <a:xfrm>
                      <a:off x="0" y="0"/>
                      <a:ext cx="6035040" cy="3655024"/>
                    </a:xfrm>
                    <a:prstGeom prst="rect"/>
                  </pic:spPr>
                </pic:pic>
              </a:graphicData>
            </a:graphic>
          </wp:inline>
        </w:drawing>
      </w:r>
    </w:p>
    <w:p>
      <w:r>
        <w:t>Observation: petal length and petal width increase together, and the three classes form visually distinct groups. Setosa occupies a compact low-length/low-width region, while versicolor and virginica occupy higher ranges with some separation.</w:t>
      </w:r>
    </w:p>
    <w:p>
      <w:r>
        <w:t>Visualization 4 — Correlation matrix</w:t>
      </w:r>
    </w:p>
    <w:p>
      <w:pPr>
        <w:jc w:val="center"/>
      </w:pPr>
      <w:r>
        <w:drawing>
          <wp:inline xmlns:a="http://schemas.openxmlformats.org/drawingml/2006/main" xmlns:pic="http://schemas.openxmlformats.org/drawingml/2006/picture">
            <wp:extent cx="6035040" cy="4163270"/>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6035040" cy="4163270"/>
                    </a:xfrm>
                    <a:prstGeom prst="rect"/>
                  </pic:spPr>
                </pic:pic>
              </a:graphicData>
            </a:graphic>
          </wp:inline>
        </w:drawing>
      </w:r>
    </w:p>
    <w:p>
      <w:r>
        <w:t>Observation: petal length and petal width have a very strong positive correlation (0.96). Sepal length is also strongly positively associated with petal length (0.87) and petal width (0.82). Sepal width has weaker relationships with the other measurements.</w:t>
      </w:r>
    </w:p>
    <w:p>
      <w:pPr>
        <w:pStyle w:val="Heading1"/>
      </w:pPr>
      <w:r>
        <w:t>7. Key EDA Code Snippets</w:t>
      </w:r>
    </w:p>
    <w:p>
      <w:pPr>
        <w:ind w:left="360" w:right="360"/>
      </w:pPr>
      <w:r>
        <w:rPr>
          <w:rFonts w:ascii="Consolas" w:hAnsi="Consolas"/>
          <w:sz w:val="17"/>
        </w:rPr>
        <w:t># Class counts</w:t>
        <w:br/>
        <w:t>print(clean["class"].value_counts())</w:t>
        <w:br/>
        <w:br/>
        <w:t># Class-wise means</w:t>
        <w:br/>
        <w:t>print(clean.groupby("class")[numeric_cols].mean())</w:t>
        <w:br/>
        <w:br/>
        <w:t># Correlations</w:t>
        <w:br/>
        <w:t>print(clean[numeric_cols].corr())</w:t>
      </w:r>
    </w:p>
    <w:p>
      <w:pPr>
        <w:ind w:left="360" w:right="360"/>
      </w:pPr>
      <w:r>
        <w:rPr>
          <w:rFonts w:ascii="Consolas" w:hAnsi="Consolas"/>
          <w:sz w:val="17"/>
        </w:rPr>
        <w:t>import matplotlib.pyplot as plt</w:t>
        <w:br/>
        <w:br/>
        <w:t># Scatter plot</w:t>
        <w:br/>
        <w:t>for cls in clean["class"].unique():</w:t>
        <w:br/>
        <w:t xml:space="preserve">    subset = clean[clean["class"] == cls]</w:t>
        <w:br/>
        <w:t xml:space="preserve">    plt.scatter(</w:t>
        <w:br/>
        <w:t xml:space="preserve">        subset["petal_length"],</w:t>
        <w:br/>
        <w:t xml:space="preserve">        subset["petal_width"],</w:t>
        <w:br/>
        <w:t xml:space="preserve">        label=cls</w:t>
        <w:br/>
        <w:t xml:space="preserve">    )</w:t>
        <w:br/>
        <w:br/>
        <w:t>plt.xlabel("Petal length (cm)")</w:t>
        <w:br/>
        <w:t>plt.ylabel("Petal width (cm)")</w:t>
        <w:br/>
        <w:t>plt.title("Petal Length vs Petal Width")</w:t>
        <w:br/>
        <w:t>plt.legend()</w:t>
        <w:br/>
        <w:t>plt.show()</w:t>
      </w:r>
    </w:p>
    <w:p>
      <w:pPr>
        <w:pStyle w:val="Heading1"/>
      </w:pPr>
      <w:r>
        <w:t>8. Summary of Insights</w:t>
      </w:r>
    </w:p>
    <w:p>
      <w:pPr>
        <w:pStyle w:val="ListBullet"/>
      </w:pPr>
      <w:r>
        <w:t>The dataset is small and balanced, with three flower classes represented in nearly equal numbers.</w:t>
      </w:r>
    </w:p>
    <w:p>
      <w:pPr>
        <w:pStyle w:val="ListBullet"/>
      </w:pPr>
      <w:r>
        <w:t>The cleaning stage confirmed that the numeric measurement fields are suitable for quantitative analysis.</w:t>
      </w:r>
    </w:p>
    <w:p>
      <w:pPr>
        <w:pStyle w:val="ListBullet"/>
      </w:pPr>
      <w:r>
        <w:t>One duplicate record was removed during preprocessing, leaving 149 unique rows for the cleaned EDA dataset.</w:t>
      </w:r>
    </w:p>
    <w:p>
      <w:pPr>
        <w:pStyle w:val="ListBullet"/>
      </w:pPr>
      <w:r>
        <w:t>Petal length and petal width show the strongest linear relationship among the four measurements.</w:t>
      </w:r>
    </w:p>
    <w:p>
      <w:pPr>
        <w:pStyle w:val="ListBullet"/>
      </w:pPr>
      <w:r>
        <w:t>Setosa is clearly separated from the other two classes using petal dimensions, while versicolor and virginica have more overlap.</w:t>
      </w:r>
    </w:p>
    <w:p>
      <w:pPr>
        <w:pStyle w:val="ListBullet"/>
      </w:pPr>
      <w:r>
        <w:t>Class-wise means show a steady increase in petal length and petal width from setosa to versicolor to virginica.</w:t>
      </w:r>
    </w:p>
    <w:p>
      <w:pPr>
        <w:pStyle w:val="ListBullet"/>
      </w:pPr>
      <w:r>
        <w:t>The EDA suggests that petal measurements are informative variables for a later classification task, although this report does not build or evaluate a predictive model.</w:t>
      </w:r>
    </w:p>
    <w:p>
      <w:pPr>
        <w:pStyle w:val="Heading1"/>
      </w:pPr>
      <w:r>
        <w:t>9. Potential Areas for Further Analysis</w:t>
      </w:r>
    </w:p>
    <w:p>
      <w:pPr>
        <w:pStyle w:val="ListBullet"/>
      </w:pPr>
      <w:r>
        <w:t>Build classification models such as Logistic Regression, Decision Tree, K-Nearest Neighbors, or Support Vector Machine.</w:t>
      </w:r>
    </w:p>
    <w:p>
      <w:pPr>
        <w:pStyle w:val="ListBullet"/>
      </w:pPr>
      <w:r>
        <w:t>Use train/test splitting and cross-validation to evaluate generalization.</w:t>
      </w:r>
    </w:p>
    <w:p>
      <w:pPr>
        <w:pStyle w:val="ListBullet"/>
      </w:pPr>
      <w:r>
        <w:t>Standardize features and compare model performance before and after scaling.</w:t>
      </w:r>
    </w:p>
    <w:p>
      <w:pPr>
        <w:pStyle w:val="ListBullet"/>
      </w:pPr>
      <w:r>
        <w:t>Investigate feature importance and dimensionality reduction using PCA.</w:t>
      </w:r>
    </w:p>
    <w:p>
      <w:pPr>
        <w:pStyle w:val="ListBullet"/>
      </w:pPr>
      <w:r>
        <w:t>Evaluate confusion matrices and per-class precision, recall, and F1-score.</w:t>
      </w:r>
    </w:p>
    <w:p>
      <w:pPr>
        <w:pStyle w:val="Heading1"/>
      </w:pPr>
      <w:r>
        <w:t>10. Methodology and Reproducibility</w:t>
      </w:r>
    </w:p>
    <w:p>
      <w:r>
        <w:t>The workflow followed a reproducible sequence: identify a public dataset; load it into a Pandas DataFrame; inspect dimensions, types, missing values, duplicates, and descriptive statistics; clean and validate fields; remove duplicate records; calculate class-wise statistics and correlations; create visualizations; and document the findings. The report does not claim predictive accuracy because no machine-learning model was trained as part of this Week 1 task.</w:t>
      </w:r>
    </w:p>
    <w:p>
      <w:pPr>
        <w:pStyle w:val="Heading1"/>
      </w:pPr>
      <w:r>
        <w:t>11. Estimated Time Frame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sz w:val="18"/>
              </w:rPr>
              <w:t>Activity</w:t>
            </w:r>
          </w:p>
        </w:tc>
        <w:tc>
          <w:tcPr>
            <w:tcW w:type="dxa" w:w="5040"/>
            <w:vAlign w:val="center"/>
            <w:shd w:fill="EDEDED"/>
          </w:tcPr>
          <w:p>
            <w:r/>
            <w:r>
              <w:rPr>
                <w:b/>
                <w:sz w:val="18"/>
              </w:rPr>
              <w:t>Estimated time</w:t>
            </w:r>
          </w:p>
        </w:tc>
      </w:tr>
      <w:tr>
        <w:tc>
          <w:tcPr>
            <w:tcW w:type="dxa" w:w="5040"/>
            <w:vAlign w:val="center"/>
          </w:tcPr>
          <w:p>
            <w:r/>
            <w:r>
              <w:rPr>
                <w:b w:val="0"/>
                <w:sz w:val="18"/>
              </w:rPr>
              <w:t>Dataset selection and source review</w:t>
            </w:r>
          </w:p>
        </w:tc>
        <w:tc>
          <w:tcPr>
            <w:tcW w:type="dxa" w:w="5040"/>
            <w:vAlign w:val="center"/>
          </w:tcPr>
          <w:p>
            <w:r/>
            <w:r>
              <w:rPr>
                <w:b w:val="0"/>
                <w:sz w:val="18"/>
              </w:rPr>
              <w:t>3 hours</w:t>
            </w:r>
          </w:p>
        </w:tc>
      </w:tr>
      <w:tr>
        <w:tc>
          <w:tcPr>
            <w:tcW w:type="dxa" w:w="5040"/>
            <w:vAlign w:val="center"/>
          </w:tcPr>
          <w:p>
            <w:r/>
            <w:r>
              <w:rPr>
                <w:b w:val="0"/>
                <w:sz w:val="18"/>
              </w:rPr>
              <w:t>Data acquisition and initial inspection</w:t>
            </w:r>
          </w:p>
        </w:tc>
        <w:tc>
          <w:tcPr>
            <w:tcW w:type="dxa" w:w="5040"/>
            <w:vAlign w:val="center"/>
          </w:tcPr>
          <w:p>
            <w:r/>
            <w:r>
              <w:rPr>
                <w:b w:val="0"/>
                <w:sz w:val="18"/>
              </w:rPr>
              <w:t>4 hours</w:t>
            </w:r>
          </w:p>
        </w:tc>
      </w:tr>
      <w:tr>
        <w:tc>
          <w:tcPr>
            <w:tcW w:type="dxa" w:w="5040"/>
            <w:vAlign w:val="center"/>
          </w:tcPr>
          <w:p>
            <w:r/>
            <w:r>
              <w:rPr>
                <w:b w:val="0"/>
                <w:sz w:val="18"/>
              </w:rPr>
              <w:t>Cleaning and preprocessing</w:t>
            </w:r>
          </w:p>
        </w:tc>
        <w:tc>
          <w:tcPr>
            <w:tcW w:type="dxa" w:w="5040"/>
            <w:vAlign w:val="center"/>
          </w:tcPr>
          <w:p>
            <w:r/>
            <w:r>
              <w:rPr>
                <w:b w:val="0"/>
                <w:sz w:val="18"/>
              </w:rPr>
              <w:t>6 hours</w:t>
            </w:r>
          </w:p>
        </w:tc>
      </w:tr>
      <w:tr>
        <w:tc>
          <w:tcPr>
            <w:tcW w:type="dxa" w:w="5040"/>
            <w:vAlign w:val="center"/>
          </w:tcPr>
          <w:p>
            <w:r/>
            <w:r>
              <w:rPr>
                <w:b w:val="0"/>
                <w:sz w:val="18"/>
              </w:rPr>
              <w:t>Descriptive statistics and EDA</w:t>
            </w:r>
          </w:p>
        </w:tc>
        <w:tc>
          <w:tcPr>
            <w:tcW w:type="dxa" w:w="5040"/>
            <w:vAlign w:val="center"/>
          </w:tcPr>
          <w:p>
            <w:r/>
            <w:r>
              <w:rPr>
                <w:b w:val="0"/>
                <w:sz w:val="18"/>
              </w:rPr>
              <w:t>7 hours</w:t>
            </w:r>
          </w:p>
        </w:tc>
      </w:tr>
      <w:tr>
        <w:tc>
          <w:tcPr>
            <w:tcW w:type="dxa" w:w="5040"/>
            <w:vAlign w:val="center"/>
          </w:tcPr>
          <w:p>
            <w:r/>
            <w:r>
              <w:rPr>
                <w:b w:val="0"/>
                <w:sz w:val="18"/>
              </w:rPr>
              <w:t>Visualization creation and interpretation</w:t>
            </w:r>
          </w:p>
        </w:tc>
        <w:tc>
          <w:tcPr>
            <w:tcW w:type="dxa" w:w="5040"/>
            <w:vAlign w:val="center"/>
          </w:tcPr>
          <w:p>
            <w:r/>
            <w:r>
              <w:rPr>
                <w:b w:val="0"/>
                <w:sz w:val="18"/>
              </w:rPr>
              <w:t>6 hours</w:t>
            </w:r>
          </w:p>
        </w:tc>
      </w:tr>
      <w:tr>
        <w:tc>
          <w:tcPr>
            <w:tcW w:type="dxa" w:w="5040"/>
            <w:vAlign w:val="center"/>
          </w:tcPr>
          <w:p>
            <w:r/>
            <w:r>
              <w:rPr>
                <w:b w:val="0"/>
                <w:sz w:val="18"/>
              </w:rPr>
              <w:t>Documentation, code snippets, and review</w:t>
            </w:r>
          </w:p>
        </w:tc>
        <w:tc>
          <w:tcPr>
            <w:tcW w:type="dxa" w:w="5040"/>
            <w:vAlign w:val="center"/>
          </w:tcPr>
          <w:p>
            <w:r/>
            <w:r>
              <w:rPr>
                <w:b w:val="0"/>
                <w:sz w:val="18"/>
              </w:rPr>
              <w:t>6 hours</w:t>
            </w:r>
          </w:p>
        </w:tc>
      </w:tr>
      <w:tr>
        <w:tc>
          <w:tcPr>
            <w:tcW w:type="dxa" w:w="5040"/>
            <w:vAlign w:val="center"/>
          </w:tcPr>
          <w:p>
            <w:r/>
            <w:r>
              <w:rPr>
                <w:b w:val="0"/>
                <w:sz w:val="18"/>
              </w:rPr>
              <w:t>Total</w:t>
            </w:r>
          </w:p>
        </w:tc>
        <w:tc>
          <w:tcPr>
            <w:tcW w:type="dxa" w:w="5040"/>
            <w:vAlign w:val="center"/>
          </w:tcPr>
          <w:p>
            <w:r/>
            <w:r>
              <w:rPr>
                <w:b w:val="0"/>
                <w:sz w:val="18"/>
              </w:rPr>
              <w:t>32 hours</w:t>
            </w:r>
          </w:p>
        </w:tc>
      </w:tr>
    </w:tbl>
    <w:p>
      <w:r>
        <w:t>The planned effort is approximately 32 hours, which is within the requested 30–35 hour estimated time frame.</w:t>
      </w:r>
    </w:p>
    <w:p>
      <w:pPr>
        <w:pStyle w:val="Heading1"/>
      </w:pPr>
      <w:r>
        <w:t>12. Conclusion</w:t>
      </w:r>
    </w:p>
    <w:p>
      <w:r>
        <w:t>This Week 1 task demonstrates the complete foundation of a data-science workflow using the public Iris dataset. The data was inspected, validated, cleaned, and explored with Python. The analysis identified strong relationships among petal measurements and clear distribution differences between the iris classes. The resulting visualizations and documented code provide a reproducible starting point for future statistical analysis or machine-learning work.</w:t>
      </w:r>
    </w:p>
    <w:p>
      <w:pPr>
        <w:pStyle w:val="Heading1"/>
      </w:pPr>
      <w:r>
        <w:t>13. References</w:t>
      </w:r>
    </w:p>
    <w:p>
      <w:r>
        <w:t>1. UCI Machine Learning Repository, Iris Dataset, Dataset ID 53. https://archive.ics.uci.edu/dataset/53/iris</w:t>
      </w:r>
    </w:p>
    <w:p>
      <w:r>
        <w:t>2. Fisher, R. A. (1936). The use of multiple measurements in taxonomic problems. Annals of Eugenics, 7(2), 179–188.</w:t>
      </w:r>
    </w:p>
    <w:p>
      <w:pPr>
        <w:pStyle w:val="Heading1"/>
      </w:pPr>
      <w:r>
        <w:t>Appendix A — Submission Checklist</w:t>
      </w:r>
    </w:p>
    <w:p>
      <w:r>
        <w:t>✓ Publicly available dataset identified and documented.</w:t>
      </w:r>
    </w:p>
    <w:p>
      <w:r>
        <w:t>✓ Data acquisition method and Python code included.</w:t>
      </w:r>
    </w:p>
    <w:p>
      <w:r>
        <w:t>✓ Data cleaning and preprocessing rationale included.</w:t>
      </w:r>
    </w:p>
    <w:p>
      <w:r>
        <w:t>✓ Missing-value and duplicate checks documented.</w:t>
      </w:r>
    </w:p>
    <w:p>
      <w:r>
        <w:t>✓ At least three visualizations included (four provided).</w:t>
      </w:r>
    </w:p>
    <w:p>
      <w:r>
        <w:t>✓ Exploratory observations and insights summarized.</w:t>
      </w:r>
    </w:p>
    <w:p>
      <w:r>
        <w:t>✓ Detailed code snippets included.</w:t>
      </w:r>
    </w:p>
    <w:p>
      <w:r>
        <w:t>✓ Report is organized with headings and subheadings.</w:t>
      </w:r>
    </w:p>
    <w:p>
      <w:r>
        <w:t>✓ Estimated effort documented as 32 hours.</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Data Acquisition, Cleaning, and Exploratory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