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Project KESTREL — Kickoff Meeting Notes</w:t>
      </w:r>
    </w:p>
    <w:p>
      <w:r>
        <w:t>Date: 9 February 2026 · Location: Gdańsk studio and video call</w:t>
      </w:r>
    </w:p>
    <w:p>
      <w:pPr>
        <w:pStyle w:val="Heading1"/>
      </w:pPr>
      <w:r>
        <w:t>Attendees</w:t>
      </w:r>
    </w:p>
    <w:p>
      <w:pPr>
        <w:pStyle w:val="ListBullet"/>
      </w:pPr>
      <w:r>
        <w:t>Mara Lindqvist — Head of Product</w:t>
      </w:r>
    </w:p>
    <w:p>
      <w:pPr>
        <w:pStyle w:val="ListBullet"/>
      </w:pPr>
      <w:r>
        <w:t>Tomasz Wierzbicki — Lead Mechanical Engineer</w:t>
      </w:r>
    </w:p>
    <w:p>
      <w:pPr>
        <w:pStyle w:val="ListBullet"/>
      </w:pPr>
      <w:r>
        <w:t>Aiko Tanaka — Industrial Designer</w:t>
      </w:r>
    </w:p>
    <w:p>
      <w:pPr>
        <w:pStyle w:val="ListBullet"/>
      </w:pPr>
      <w:r>
        <w:t>Daniel Okafor — Sourcing Manager</w:t>
      </w:r>
    </w:p>
    <w:p>
      <w:pPr>
        <w:pStyle w:val="ListBullet"/>
      </w:pPr>
      <w:r>
        <w:t>Priya Raman — Product Marketing</w:t>
      </w:r>
    </w:p>
    <w:p>
      <w:pPr>
        <w:pStyle w:val="ListBullet"/>
      </w:pPr>
      <w:r>
        <w:t>Lucas Moreau — Finance Controller</w:t>
      </w:r>
    </w:p>
    <w:p>
      <w:pPr>
        <w:pStyle w:val="Heading1"/>
      </w:pPr>
      <w:r>
        <w:t>Purpose</w:t>
      </w:r>
    </w:p>
    <w:p>
      <w:r>
        <w:t>Kick off development of KESTREL, a compact ergonomic task chair for people who work from small home offices. The product must deliver full-size ergonomics in a smaller footprint, be easy to assemble, and meet the Aldermoor 2027 recycled-content commitment.</w:t>
      </w:r>
    </w:p>
    <w:p>
      <w:pPr>
        <w:pStyle w:val="Heading1"/>
      </w:pPr>
      <w:r>
        <w:t>Why now</w:t>
      </w:r>
    </w:p>
    <w:p>
      <w:r>
        <w:t>Online task-chair returns are costly: the market brief attributes 23% of returns to the chair being too big for the space and 12% to assembly problems. Customer service logged 1,840 complaints about chair size in 2025.</w:t>
      </w:r>
    </w:p>
    <w:p>
      <w:pPr>
        <w:pStyle w:val="Heading1"/>
      </w:pPr>
      <w:r>
        <w:t>Product targets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Target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Rationale</w:t>
            </w:r>
          </w:p>
        </w:tc>
      </w:tr>
      <w:tr>
        <w:tc>
          <w:tcPr>
            <w:tcW w:type="dxa" w:w="2880"/>
          </w:tcPr>
          <w:p>
            <w:r>
              <w:t>Retail price</w:t>
            </w:r>
          </w:p>
        </w:tc>
        <w:tc>
          <w:tcPr>
            <w:tcW w:type="dxa" w:w="2880"/>
          </w:tcPr>
          <w:p>
            <w:r>
              <w:t>USD 349</w:t>
            </w:r>
          </w:p>
        </w:tc>
        <w:tc>
          <w:tcPr>
            <w:tcW w:type="dxa" w:w="2880"/>
          </w:tcPr>
          <w:p>
            <w:r>
              <w:t>Sits in the USD 200–399 band that holds 34% of unit sales (market brief).</w:t>
            </w:r>
          </w:p>
        </w:tc>
      </w:tr>
      <w:tr>
        <w:tc>
          <w:tcPr>
            <w:tcW w:type="dxa" w:w="2880"/>
          </w:tcPr>
          <w:p>
            <w:r>
              <w:t>Unit cost (landed, incl. packaging)</w:t>
            </w:r>
          </w:p>
        </w:tc>
        <w:tc>
          <w:tcPr>
            <w:tcW w:type="dxa" w:w="2880"/>
          </w:tcPr>
          <w:p>
            <w:r>
              <w:t>≤ USD 120</w:t>
            </w:r>
          </w:p>
        </w:tc>
        <w:tc>
          <w:tcPr>
            <w:tcW w:type="dxa" w:w="2880"/>
          </w:tcPr>
          <w:p>
            <w:r>
              <w:t>Keeps gross margin above 60% at USD 349 after channel fees.</w:t>
            </w:r>
          </w:p>
        </w:tc>
      </w:tr>
      <w:tr>
        <w:tc>
          <w:tcPr>
            <w:tcW w:type="dxa" w:w="2880"/>
          </w:tcPr>
          <w:p>
            <w:r>
              <w:t>Base diameter</w:t>
            </w:r>
          </w:p>
        </w:tc>
        <w:tc>
          <w:tcPr>
            <w:tcW w:type="dxa" w:w="2880"/>
          </w:tcPr>
          <w:p>
            <w:r>
              <w:t>≤ 600 mm</w:t>
            </w:r>
          </w:p>
        </w:tc>
        <w:tc>
          <w:tcPr>
            <w:tcW w:type="dxa" w:w="2880"/>
          </w:tcPr>
          <w:p>
            <w:r>
              <w:t>Fits a 1.2 m wide desk niche; typical task chairs are 640–700 mm.</w:t>
            </w:r>
          </w:p>
        </w:tc>
      </w:tr>
      <w:tr>
        <w:tc>
          <w:tcPr>
            <w:tcW w:type="dxa" w:w="2880"/>
          </w:tcPr>
          <w:p>
            <w:r>
              <w:t>Seat width</w:t>
            </w:r>
          </w:p>
        </w:tc>
        <w:tc>
          <w:tcPr>
            <w:tcW w:type="dxa" w:w="2880"/>
          </w:tcPr>
          <w:p>
            <w:r>
              <w:t>460–490 mm</w:t>
            </w:r>
          </w:p>
        </w:tc>
        <w:tc>
          <w:tcPr>
            <w:tcW w:type="dxa" w:w="2880"/>
          </w:tcPr>
          <w:p>
            <w:r>
              <w:t>Covers the 5th–95th percentile of the target users.</w:t>
            </w:r>
          </w:p>
        </w:tc>
      </w:tr>
      <w:tr>
        <w:tc>
          <w:tcPr>
            <w:tcW w:type="dxa" w:w="2880"/>
          </w:tcPr>
          <w:p>
            <w:r>
              <w:t>Maximum user weight</w:t>
            </w:r>
          </w:p>
        </w:tc>
        <w:tc>
          <w:tcPr>
            <w:tcW w:type="dxa" w:w="2880"/>
          </w:tcPr>
          <w:p>
            <w:r>
              <w:t>125 kg</w:t>
            </w:r>
          </w:p>
        </w:tc>
        <w:tc>
          <w:tcPr>
            <w:tcW w:type="dxa" w:w="2880"/>
          </w:tcPr>
          <w:p>
            <w:r>
              <w:t>Matches the heaviest competitor claim in our price band.</w:t>
            </w:r>
          </w:p>
        </w:tc>
      </w:tr>
      <w:tr>
        <w:tc>
          <w:tcPr>
            <w:tcW w:type="dxa" w:w="2880"/>
          </w:tcPr>
          <w:p>
            <w:r>
              <w:t>Recycled content</w:t>
            </w:r>
          </w:p>
        </w:tc>
        <w:tc>
          <w:tcPr>
            <w:tcW w:type="dxa" w:w="2880"/>
          </w:tcPr>
          <w:p>
            <w:r>
              <w:t>≥ 50% by weight</w:t>
            </w:r>
          </w:p>
        </w:tc>
        <w:tc>
          <w:tcPr>
            <w:tcW w:type="dxa" w:w="2880"/>
          </w:tcPr>
          <w:p>
            <w:r>
              <w:t>Brand commitment for all 2027 launches; packaging excluded.</w:t>
            </w:r>
          </w:p>
        </w:tc>
      </w:tr>
      <w:tr>
        <w:tc>
          <w:tcPr>
            <w:tcW w:type="dxa" w:w="2880"/>
          </w:tcPr>
          <w:p>
            <w:r>
              <w:t>Shipping carton</w:t>
            </w:r>
          </w:p>
        </w:tc>
        <w:tc>
          <w:tcPr>
            <w:tcW w:type="dxa" w:w="2880"/>
          </w:tcPr>
          <w:p>
            <w:r>
              <w:t>≤ 0.12 m³, single box</w:t>
            </w:r>
          </w:p>
        </w:tc>
        <w:tc>
          <w:tcPr>
            <w:tcW w:type="dxa" w:w="2880"/>
          </w:tcPr>
          <w:p>
            <w:r>
              <w:t>Parcel-carrier limit without surcharge.</w:t>
            </w:r>
          </w:p>
        </w:tc>
      </w:tr>
      <w:tr>
        <w:tc>
          <w:tcPr>
            <w:tcW w:type="dxa" w:w="2880"/>
          </w:tcPr>
          <w:p>
            <w:r>
              <w:t>Assembly time</w:t>
            </w:r>
          </w:p>
        </w:tc>
        <w:tc>
          <w:tcPr>
            <w:tcW w:type="dxa" w:w="2880"/>
          </w:tcPr>
          <w:p>
            <w:r>
              <w:t>≤ 10 min, included hex key only</w:t>
            </w:r>
          </w:p>
        </w:tc>
        <w:tc>
          <w:tcPr>
            <w:tcW w:type="dxa" w:w="2880"/>
          </w:tcPr>
          <w:p>
            <w:r>
              <w:t>Assembly problems cause 12% of online returns.</w:t>
            </w:r>
          </w:p>
        </w:tc>
      </w:tr>
      <w:tr>
        <w:tc>
          <w:tcPr>
            <w:tcW w:type="dxa" w:w="2880"/>
          </w:tcPr>
          <w:p>
            <w:r>
              <w:t>Seat shell fatigue</w:t>
            </w:r>
          </w:p>
        </w:tc>
        <w:tc>
          <w:tcPr>
            <w:tcW w:type="dxa" w:w="2880"/>
          </w:tcPr>
          <w:p>
            <w:r>
              <w:t>≥ 120,000 cycles</w:t>
            </w:r>
          </w:p>
        </w:tc>
        <w:tc>
          <w:tcPr>
            <w:tcW w:type="dxa" w:w="2880"/>
          </w:tcPr>
          <w:p>
            <w:r>
              <w:t>Internal test TP-07.</w:t>
            </w:r>
          </w:p>
        </w:tc>
      </w:tr>
      <w:tr>
        <w:tc>
          <w:tcPr>
            <w:tcW w:type="dxa" w:w="2880"/>
          </w:tcPr>
          <w:p>
            <w:r>
              <w:t>Armrest fatigue</w:t>
            </w:r>
          </w:p>
        </w:tc>
        <w:tc>
          <w:tcPr>
            <w:tcW w:type="dxa" w:w="2880"/>
          </w:tcPr>
          <w:p>
            <w:r>
              <w:t>≥ 60,000 cycles</w:t>
            </w:r>
          </w:p>
        </w:tc>
        <w:tc>
          <w:tcPr>
            <w:tcW w:type="dxa" w:w="2880"/>
          </w:tcPr>
          <w:p>
            <w:r>
              <w:t>Internal test TP-12.</w:t>
            </w:r>
          </w:p>
        </w:tc>
      </w:tr>
      <w:tr>
        <w:tc>
          <w:tcPr>
            <w:tcW w:type="dxa" w:w="2880"/>
          </w:tcPr>
          <w:p>
            <w:r>
              <w:t>Launch</w:t>
            </w:r>
          </w:p>
        </w:tc>
        <w:tc>
          <w:tcPr>
            <w:tcW w:type="dxa" w:w="2880"/>
          </w:tcPr>
          <w:p>
            <w:r>
              <w:t>Q2 2027</w:t>
            </w:r>
          </w:p>
        </w:tc>
        <w:tc>
          <w:tcPr>
            <w:tcW w:type="dxa" w:w="2880"/>
          </w:tcPr>
          <w:p>
            <w:r>
              <w:t>Aligned with the spring home-office promotion.</w:t>
            </w:r>
          </w:p>
        </w:tc>
      </w:tr>
    </w:tbl>
    <w:p>
      <w:pPr>
        <w:pStyle w:val="Heading1"/>
      </w:pPr>
      <w:r>
        <w:t>Decisions</w:t>
      </w:r>
    </w:p>
    <w:p>
      <w:pPr>
        <w:pStyle w:val="ListBullet"/>
      </w:pPr>
      <w:r>
        <w:t>D1: Target segment is home-office workers with rooms under 10 m²; commercial contract seating is out of scope.</w:t>
      </w:r>
    </w:p>
    <w:p>
      <w:pPr>
        <w:pStyle w:val="ListBullet"/>
      </w:pPr>
      <w:r>
        <w:t>D2: Evaluate flip-up armrests as an option; fixed armrests remain the baseline for P1 and P2.</w:t>
      </w:r>
    </w:p>
    <w:p>
      <w:pPr>
        <w:pStyle w:val="ListBullet"/>
      </w:pPr>
      <w:r>
        <w:t>D3: Seat shell material shortlist is PP-GF30 virgin (reference), rPP-50, rPP-100 and PA11-GF bio. Test program TP-07 decides the material.</w:t>
      </w:r>
    </w:p>
    <w:p>
      <w:pPr>
        <w:pStyle w:val="ListBullet"/>
      </w:pPr>
      <w:r>
        <w:t>D4: Planning volume is 5,000 units in year one; all costs are quoted at that volume.</w:t>
      </w:r>
    </w:p>
    <w:p>
      <w:pPr>
        <w:pStyle w:val="Heading1"/>
      </w:pPr>
      <w:r>
        <w:t>Risks</w:t>
      </w:r>
    </w:p>
    <w:p>
      <w:pPr>
        <w:pStyle w:val="ListBullet"/>
      </w:pPr>
      <w:r>
        <w:t>R1: Recycled polypropylene may not reach the 120,000-cycle shell fatigue target.</w:t>
      </w:r>
    </w:p>
    <w:p>
      <w:pPr>
        <w:pStyle w:val="ListBullet"/>
      </w:pPr>
      <w:r>
        <w:t>R2: Recycled materials and aluminium could push the unit cost above USD 120.</w:t>
      </w:r>
    </w:p>
    <w:p>
      <w:pPr>
        <w:pStyle w:val="ListBullet"/>
      </w:pPr>
      <w:r>
        <w:t>R3: A smaller base could compromise rear stability; test TP-16 must pass.</w:t>
      </w:r>
    </w:p>
    <w:p>
      <w:pPr>
        <w:pStyle w:val="Heading1"/>
      </w:pPr>
      <w:r>
        <w:t>Actions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Action</w:t>
            </w:r>
          </w:p>
        </w:tc>
        <w:tc>
          <w:tcPr>
            <w:tcW w:type="dxa" w:w="2880"/>
          </w:tcPr>
          <w:p>
            <w:r>
              <w:t>Owner</w:t>
            </w:r>
          </w:p>
        </w:tc>
        <w:tc>
          <w:tcPr>
            <w:tcW w:type="dxa" w:w="2880"/>
          </w:tcPr>
          <w:p>
            <w:r>
              <w:t>Due</w:t>
            </w:r>
          </w:p>
        </w:tc>
      </w:tr>
      <w:tr>
        <w:tc>
          <w:tcPr>
            <w:tcW w:type="dxa" w:w="2880"/>
          </w:tcPr>
          <w:p>
            <w:r>
              <w:t>Run shell material fatigue program TP-07</w:t>
            </w:r>
          </w:p>
        </w:tc>
        <w:tc>
          <w:tcPr>
            <w:tcW w:type="dxa" w:w="2880"/>
          </w:tcPr>
          <w:p>
            <w:r>
              <w:t>Tomasz Wierzbicki</w:t>
            </w:r>
          </w:p>
        </w:tc>
        <w:tc>
          <w:tcPr>
            <w:tcW w:type="dxa" w:w="2880"/>
          </w:tcPr>
          <w:p>
            <w:r>
              <w:t>2026-04-30</w:t>
            </w:r>
          </w:p>
        </w:tc>
      </w:tr>
      <w:tr>
        <w:tc>
          <w:tcPr>
            <w:tcW w:type="dxa" w:w="2880"/>
          </w:tcPr>
          <w:p>
            <w:r>
              <w:t>Conduct 12 customer interviews</w:t>
            </w:r>
          </w:p>
        </w:tc>
        <w:tc>
          <w:tcPr>
            <w:tcW w:type="dxa" w:w="2880"/>
          </w:tcPr>
          <w:p>
            <w:r>
              <w:t>Priya Raman</w:t>
            </w:r>
          </w:p>
        </w:tc>
        <w:tc>
          <w:tcPr>
            <w:tcW w:type="dxa" w:w="2880"/>
          </w:tcPr>
          <w:p>
            <w:r>
              <w:t>2026-05-31</w:t>
            </w:r>
          </w:p>
        </w:tc>
      </w:tr>
      <w:tr>
        <w:tc>
          <w:tcPr>
            <w:tcW w:type="dxa" w:w="2880"/>
          </w:tcPr>
          <w:p>
            <w:r>
              <w:t>Collect supplier quotes at 5k volume</w:t>
            </w:r>
          </w:p>
        </w:tc>
        <w:tc>
          <w:tcPr>
            <w:tcW w:type="dxa" w:w="2880"/>
          </w:tcPr>
          <w:p>
            <w:r>
              <w:t>Daniel Okafor</w:t>
            </w:r>
          </w:p>
        </w:tc>
        <w:tc>
          <w:tcPr>
            <w:tcW w:type="dxa" w:w="2880"/>
          </w:tcPr>
          <w:p>
            <w:r>
              <w:t>2026-07-15</w:t>
            </w:r>
          </w:p>
        </w:tc>
      </w:tr>
      <w:tr>
        <w:tc>
          <w:tcPr>
            <w:tcW w:type="dxa" w:w="2880"/>
          </w:tcPr>
          <w:p>
            <w:r>
              <w:t>Build P2 prototypes (6 units)</w:t>
            </w:r>
          </w:p>
        </w:tc>
        <w:tc>
          <w:tcPr>
            <w:tcW w:type="dxa" w:w="2880"/>
          </w:tcPr>
          <w:p>
            <w:r>
              <w:t>Aiko Tanaka</w:t>
            </w:r>
          </w:p>
        </w:tc>
        <w:tc>
          <w:tcPr>
            <w:tcW w:type="dxa" w:w="2880"/>
          </w:tcPr>
          <w:p>
            <w:r>
              <w:t>2026-07-31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Aldermoor Furniture Co. — Project KESTREL — synthetic training data, all figures fictional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KESTREL — Kickoff Meeting Notes</dc:title>
  <dc:subject/>
  <dc:creator>Aldermoor Furniture Co.</dc:creator>
  <cp:keywords/>
  <dc:description>generated by python-docx</dc:description>
  <cp:lastModifiedBy/>
  <cp:revision>1</cp:revision>
  <dcterms:created xsi:type="dcterms:W3CDTF">2026-09-01T09:00:00Z</dcterms:created>
  <dcterms:modified xsi:type="dcterms:W3CDTF">2026-09-01T09:00:00Z</dcterms:modified>
  <cp:category/>
</cp:coreProperties>
</file>