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KESTREL Weekly Sync — 20 August 2026</w:t>
      </w:r>
    </w:p>
    <w:p>
      <w:r>
        <w:t>Attendees: Mara Lindqvist, Tomasz Wierzbicki, Daniel Okafor, Priya Raman, Lucas Moreau</w:t>
      </w:r>
    </w:p>
    <w:p>
      <w:pPr>
        <w:pStyle w:val="Heading1"/>
      </w:pPr>
      <w:r>
        <w:t>P2 test status</w:t>
      </w:r>
    </w:p>
    <w:p>
      <w:r>
        <w:t>Test report TR-2026-031 is out. Seven of nine tests passed. The armrest cyclic test T5 failed: the zinc bracket KS-204 cracked at 38,500 and 41,200 cycles against a 60,000-cycle target. Assembly time T9 also failed with a mean of 11.6 minutes.</w:t>
      </w:r>
    </w:p>
    <w:p>
      <w:pPr>
        <w:pStyle w:val="Heading1"/>
      </w:pPr>
      <w:r>
        <w:t>Armrest options discussed</w:t>
      </w:r>
    </w:p>
    <w:p>
      <w:pPr>
        <w:pStyle w:val="ListBullet"/>
      </w:pPr>
      <w:r>
        <w:t>Option A: keep zinc die-casting, increase the inner radius to R2.0 mm and add a rib.</w:t>
      </w:r>
    </w:p>
    <w:p>
      <w:pPr>
        <w:pStyle w:val="ListBullet"/>
      </w:pPr>
      <w:r>
        <w:t>Option B: switch the bracket to stamped steel from a new supplier (Stahlform).</w:t>
      </w:r>
    </w:p>
    <w:p>
      <w:pPr>
        <w:pStyle w:val="ListBullet"/>
      </w:pPr>
      <w:r>
        <w:t>Option C: replace fixed armrests with a flip-up armrest assembly from Mechanika.</w:t>
      </w:r>
    </w:p>
    <w:p>
      <w:pPr>
        <w:pStyle w:val="Heading1"/>
      </w:pPr>
      <w:r>
        <w:t>Positions</w:t>
      </w:r>
    </w:p>
    <w:p>
      <w:r>
        <w:t>Lucas Moreau (Finance): any option must keep the landed unit cost at or below USD 120 at the 5,000-unit volume. He asked Sourcing for costed configurations before the design review.</w:t>
      </w:r>
    </w:p>
    <w:p>
      <w:r>
        <w:t>Priya Raman (Marketing): prefers Option C because 5 of 12 interviewees complained about armrests hitting the desk.</w:t>
      </w:r>
    </w:p>
    <w:p>
      <w:r>
        <w:t>Tomasz Wierzbicki (Engineering): Option A does not address the casting porosity seen in the failure analysis; Option B removes both suspected causes.</w:t>
      </w:r>
    </w:p>
    <w:p>
      <w:r>
        <w:t>Daniel Okafor (Sourcing): the current BOM misses the 50% recycled-content target; Mechanika offers an EcoLine mechanism with 70% recycled steel at a higher price.</w:t>
      </w:r>
    </w:p>
    <w:p>
      <w:pPr>
        <w:pStyle w:val="Heading1"/>
      </w:pPr>
      <w:r>
        <w:t>Decision</w:t>
      </w:r>
    </w:p>
    <w:p>
      <w:r>
        <w:t>No decision taken. Decision deferred to the P2 design review on 27 August 2026.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Aldermoor Furniture Co. — Project KESTREL — synthetic training data, all figures fictional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KESTREL Weekly Sync — 20 August 2026</dc:title>
  <dc:subject/>
  <dc:creator>Aldermoor Furniture Co.</dc:creator>
  <cp:keywords/>
  <dc:description>generated by python-docx</dc:description>
  <cp:lastModifiedBy/>
  <cp:revision>1</cp:revision>
  <dcterms:created xsi:type="dcterms:W3CDTF">2026-09-01T09:00:00Z</dcterms:created>
  <dcterms:modified xsi:type="dcterms:W3CDTF">2026-09-01T09:00:00Z</dcterms:modified>
  <cp:category/>
</cp:coreProperties>
</file>