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960"/>
      </w:pPr>
      <w:r>
        <w:rPr>
          <w:rFonts w:ascii="宋体" w:hAnsi="宋体" w:eastAsia="宋体"/>
          <w:b w:val="0"/>
          <w:sz w:val="21"/>
        </w:rPr>
      </w:r>
    </w:p>
    <w:p>
      <w:pPr>
        <w:spacing w:after="240" w:before="0"/>
        <w:jc w:val="center"/>
      </w:pPr>
      <w:r>
        <w:rPr>
          <w:rFonts w:ascii="黑体" w:hAnsi="黑体" w:eastAsia="黑体"/>
          <w:b/>
          <w:color w:val="1A3C5E"/>
          <w:sz w:val="44"/>
        </w:rPr>
        <w:t>企 业 车 辆 采 购 方 案 书</w:t>
      </w:r>
    </w:p>
    <w:p>
      <w:pPr>
        <w:spacing w:after="640" w:before="0"/>
        <w:jc w:val="center"/>
      </w:pPr>
      <w:r>
        <w:rPr>
          <w:rFonts w:ascii="宋体" w:hAnsi="宋体" w:eastAsia="宋体"/>
          <w:b w:val="0"/>
          <w:color w:val="666666"/>
          <w:sz w:val="20"/>
        </w:rPr>
        <w:t>CORPORATE VEHICLE PROCUREMENT PROPOSAL</w:t>
      </w:r>
    </w:p>
    <w:p>
      <w:pPr>
        <w:spacing w:after="480" w:before="0"/>
        <w:jc w:val="center"/>
      </w:pPr>
      <w:r>
        <w:rPr>
          <w:rFonts w:ascii="宋体" w:hAnsi="宋体" w:eastAsia="宋体"/>
          <w:b w:val="0"/>
          <w:color w:val="666666"/>
          <w:sz w:val="20"/>
        </w:rPr>
        <w:t>— 商 务 方 案 · 内 部 资 料 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533"/>
        <w:gridCol w:w="4533"/>
      </w:tblGrid>
      <w:tr>
        <w:tc>
          <w:tcPr>
            <w:tcW w:type="dxa" w:w="453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项  目</w:t>
            </w:r>
          </w:p>
        </w:tc>
        <w:tc>
          <w:tcPr>
            <w:tcW w:type="dxa" w:w="453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内  容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方案编号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{{proposal_no}}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呈报单位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{{seller_name}}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致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{{customer_company}}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联系人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{{contact_person}}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联系电话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{{contact_phone}}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项目名称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{{project_name}}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编制日期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{{proposal_date}}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方案有效期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{{proposal_valid_days}}个工作日</w:t>
            </w:r>
          </w:p>
        </w:tc>
      </w:tr>
    </w:tbl>
    <w:p>
      <w:pPr>
        <w:spacing w:after="24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color w:val="666666"/>
          <w:sz w:val="18"/>
        </w:rPr>
        <w:t>本方案书仅供呈报单位与受文单位之间内部使用，未经双方书面同意，不得向第三方披露。</w:t>
      </w:r>
    </w:p>
    <w:p>
      <w:r>
        <w:br w:type="page"/>
      </w:r>
    </w:p>
    <w:p>
      <w:pPr>
        <w:spacing w:before="400" w:after="200"/>
        <w:pBdr>
          <w:bottom w:val="single" w:sz="4" w:space="4" w:color="1A3C5E"/>
        </w:pBdr>
      </w:pPr>
      <w:r>
        <w:rPr>
          <w:rFonts w:ascii="黑体" w:hAnsi="黑体" w:eastAsia="黑体"/>
          <w:b/>
          <w:color w:val="1A3C5E"/>
          <w:sz w:val="24"/>
        </w:rPr>
        <w:t>一、执行摘要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本文档系呈报单位为 {{customer_company}} 编制的企业车辆采购方案书，旨在为贵公司公务/商务用车需求提供系统化解决方案。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经初步需求调研及市场分析，本方案推荐以 {{car_model_1}} 为主选车型，{{car_model_2}} 为备选车型，并提供相应的金融方案、费用明细及售后服务计划。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方案要点如下：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（一）主推车型：{{car_model_1}}，厂商指导价 {{price_1}}，综合油耗 {{fuel_1}} L/100km。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（二）采购预算：单车落地价约 {{landing_total}} 元（含购置税、保险、上牌费）。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（三）交付周期：预计合同签订后 {{estimated_delivery_weeks}} 周内完成交付。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（四）售后服务：包含 {{maintenance_plan}}，{{extended_warranty}}。</w:t>
      </w:r>
    </w:p>
    <w:p>
      <w:pPr>
        <w:spacing w:before="400" w:after="200"/>
        <w:pBdr>
          <w:bottom w:val="single" w:sz="4" w:space="4" w:color="1A3C5E"/>
        </w:pBdr>
      </w:pPr>
      <w:r>
        <w:rPr>
          <w:rFonts w:ascii="黑体" w:hAnsi="黑体" w:eastAsia="黑体"/>
          <w:b/>
          <w:color w:val="1A3C5E"/>
          <w:sz w:val="24"/>
        </w:rPr>
        <w:t>二、项目背景与需求分析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（一）项目背景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{{company_intro}}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（二）用车需求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533"/>
        <w:gridCol w:w="4533"/>
      </w:tblGrid>
      <w:tr>
        <w:tc>
          <w:tcPr>
            <w:tcW w:type="dxa" w:w="453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需求维度</w:t>
            </w:r>
          </w:p>
        </w:tc>
        <w:tc>
          <w:tcPr>
            <w:tcW w:type="dxa" w:w="453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具体内容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用车场景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{{usage_scenario}}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购车预算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{{budget_range}}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预计采购数量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{{fleet_size}}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车型偏好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{{car_preference}}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重点关注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{{priority_concerns}}</w:t>
            </w:r>
          </w:p>
        </w:tc>
      </w:tr>
    </w:tbl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（三）需求分析结论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{{needs_analysis}}</w:t>
      </w:r>
    </w:p>
    <w:p>
      <w:pPr>
        <w:spacing w:before="400" w:after="200"/>
        <w:pBdr>
          <w:bottom w:val="single" w:sz="4" w:space="4" w:color="1A3C5E"/>
        </w:pBdr>
      </w:pPr>
      <w:r>
        <w:rPr>
          <w:rFonts w:ascii="黑体" w:hAnsi="黑体" w:eastAsia="黑体"/>
          <w:b/>
          <w:color w:val="1A3C5E"/>
          <w:sz w:val="24"/>
        </w:rPr>
        <w:t>三、推荐车型方案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根据上述需求，经对当前市场在售车型进行筛选与对比，推荐以下方案：</w:t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  <w:t>方案一：{{car_model_1}}（主推方案）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533"/>
        <w:gridCol w:w="4533"/>
      </w:tblGrid>
      <w:tr>
        <w:tc>
          <w:tcPr>
            <w:tcW w:type="dxa" w:w="453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技术参数</w:t>
            </w:r>
          </w:p>
        </w:tc>
        <w:tc>
          <w:tcPr>
            <w:tcW w:type="dxa" w:w="453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规格数据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品牌及型号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{{car_model_1}}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厂商指导价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{{price_1}}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发动机/排量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{{displacement_1}}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变速箱类型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{{transmission_1}}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综合油耗（L/100km）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{{fuel_1}}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车身尺寸（长×宽×高mm）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{{size_1}}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轴距（mm）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{{wheelbase_1}}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推荐理由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{{reason_1}}</w:t>
            </w:r>
          </w:p>
        </w:tc>
      </w:tr>
    </w:tbl>
    <w:p>
      <w:pPr>
        <w:spacing w:after="20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80" w:before="0"/>
      </w:pPr>
      <w:r>
        <w:rPr>
          <w:rFonts w:ascii="宋体" w:hAnsi="宋体" w:eastAsia="宋体"/>
          <w:b w:val="0"/>
          <w:sz w:val="21"/>
        </w:rPr>
        <w:t>方案二：{{car_model_2}}（备选方案）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533"/>
        <w:gridCol w:w="4533"/>
      </w:tblGrid>
      <w:tr>
        <w:tc>
          <w:tcPr>
            <w:tcW w:type="dxa" w:w="453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技术参数</w:t>
            </w:r>
          </w:p>
        </w:tc>
        <w:tc>
          <w:tcPr>
            <w:tcW w:type="dxa" w:w="453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规格数据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品牌及型号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{{car_model_2}}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厂商指导价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{{price_2}}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发动机/排量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{{displacement_2}}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变速箱类型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{{transmission_2}}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综合油耗（L/100km）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{{fuel_2}}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车身尺寸（长×宽×高mm）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{{size_2}}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轴距（mm）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{{wheelbase_2}}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推荐理由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{{reason_2}}</w:t>
            </w:r>
          </w:p>
        </w:tc>
      </w:tr>
    </w:tbl>
    <w:p>
      <w:pPr>
        <w:spacing w:before="400" w:after="200"/>
        <w:pBdr>
          <w:bottom w:val="single" w:sz="4" w:space="4" w:color="1A3C5E"/>
        </w:pBdr>
      </w:pPr>
      <w:r>
        <w:rPr>
          <w:rFonts w:ascii="黑体" w:hAnsi="黑体" w:eastAsia="黑体"/>
          <w:b/>
          <w:color w:val="1A3C5E"/>
          <w:sz w:val="24"/>
        </w:rPr>
        <w:t>四、竞品对标分析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以下为推荐方案与主要竞品车型的关键指标对比：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{{comparison_summary}}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511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{{car_model_1}}</w:t>
            </w:r>
          </w:p>
        </w:tc>
        <w:tc>
          <w:tcPr>
            <w:tcW w:type="dxa" w:w="1511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{{car_model_2}}</w:t>
            </w:r>
          </w:p>
        </w:tc>
        <w:tc>
          <w:tcPr>
            <w:tcW w:type="dxa" w:w="1511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{{competitor_1}}</w:t>
            </w:r>
          </w:p>
        </w:tc>
        <w:tc>
          <w:tcPr>
            <w:tcW w:type="dxa" w:w="1511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{{competitor_2}}</w:t>
            </w:r>
          </w:p>
        </w:tc>
        <w:tc>
          <w:tcPr>
            <w:tcW w:type="dxa" w:w="1511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{{competitor_3}}</w:t>
            </w:r>
          </w:p>
        </w:tc>
      </w:tr>
      <w:tr>
        <w:tc>
          <w:tcPr>
            <w:tcW w:type="dxa" w:w="1511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厂商指导价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{{cmp_price_1}}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{{cmp_price_2}}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{{cmp_price_3}}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{{cmp_price_4}}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{{cmp_price_5}}</w:t>
            </w:r>
          </w:p>
        </w:tc>
      </w:tr>
      <w:tr>
        <w:tc>
          <w:tcPr>
            <w:tcW w:type="dxa" w:w="1511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综合油耗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{{cmp_fuel_1}}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{{cmp_fuel_2}}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{{cmp_fuel_3}}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{{cmp_fuel_4}}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{{cmp_fuel_5}}</w:t>
            </w:r>
          </w:p>
        </w:tc>
      </w:tr>
      <w:tr>
        <w:tc>
          <w:tcPr>
            <w:tcW w:type="dxa" w:w="1511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3年保值率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{{cmp_resale_1}}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{{cmp_resale_2}}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{{cmp_resale_3}}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{{cmp_resale_4}}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{{cmp_resale_5}}</w:t>
            </w:r>
          </w:p>
        </w:tc>
      </w:tr>
      <w:tr>
        <w:tc>
          <w:tcPr>
            <w:tcW w:type="dxa" w:w="1511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轴距（mm）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{{cmp_wheelbase_1}}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{{cmp_wheelbase_2}}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{{cmp_wheelbase_3}}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{{cmp_wheelbase_4}}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{{cmp_wheelbase_5}}</w:t>
            </w:r>
          </w:p>
        </w:tc>
      </w:tr>
      <w:tr>
        <w:tc>
          <w:tcPr>
            <w:tcW w:type="dxa" w:w="1511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核心优势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{{cmp_advantage_1}}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{{cmp_advantage_2}}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{{cmp_advantage_3}}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{{cmp_advantage_4}}</w:t>
            </w:r>
          </w:p>
        </w:tc>
        <w:tc>
          <w:tcPr>
            <w:tcW w:type="dxa" w:w="151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{{cmp_advantage_5}}</w:t>
            </w:r>
          </w:p>
        </w:tc>
      </w:tr>
    </w:tbl>
    <w:p>
      <w:pPr>
        <w:spacing w:before="400" w:after="200"/>
        <w:pBdr>
          <w:bottom w:val="single" w:sz="4" w:space="4" w:color="1A3C5E"/>
        </w:pBdr>
      </w:pPr>
      <w:r>
        <w:rPr>
          <w:rFonts w:ascii="黑体" w:hAnsi="黑体" w:eastAsia="黑体"/>
          <w:b/>
          <w:color w:val="1A3C5E"/>
          <w:sz w:val="24"/>
        </w:rPr>
        <w:t>五、金融方案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针对本次采购，我司提供以下三种融资方案供贵公司选择：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{{finance_plan}}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181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首付比例</w:t>
            </w:r>
          </w:p>
        </w:tc>
        <w:tc>
          <w:tcPr>
            <w:tcW w:type="dxa" w:w="181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首付金额</w:t>
            </w:r>
          </w:p>
        </w:tc>
        <w:tc>
          <w:tcPr>
            <w:tcW w:type="dxa" w:w="181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月供金额</w:t>
            </w:r>
          </w:p>
        </w:tc>
        <w:tc>
          <w:tcPr>
            <w:tcW w:type="dxa" w:w="181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贷款期限</w:t>
            </w:r>
          </w:p>
        </w:tc>
      </w:tr>
      <w:tr>
        <w:tc>
          <w:tcPr>
            <w:tcW w:type="dxa" w:w="181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方案一</w:t>
            </w:r>
          </w:p>
        </w:tc>
        <w:tc>
          <w:tcPr>
            <w:tcW w:type="dxa" w:w="181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{{plan1_ratio}}</w:t>
            </w:r>
          </w:p>
        </w:tc>
        <w:tc>
          <w:tcPr>
            <w:tcW w:type="dxa" w:w="181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{{plan1_down}}</w:t>
            </w:r>
          </w:p>
        </w:tc>
        <w:tc>
          <w:tcPr>
            <w:tcW w:type="dxa" w:w="181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{{plan1_monthly}}</w:t>
            </w:r>
          </w:p>
        </w:tc>
        <w:tc>
          <w:tcPr>
            <w:tcW w:type="dxa" w:w="181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{{plan1_term}}</w:t>
            </w:r>
          </w:p>
        </w:tc>
      </w:tr>
      <w:tr>
        <w:tc>
          <w:tcPr>
            <w:tcW w:type="dxa" w:w="181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方案二</w:t>
            </w:r>
          </w:p>
        </w:tc>
        <w:tc>
          <w:tcPr>
            <w:tcW w:type="dxa" w:w="181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{{plan2_ratio}}</w:t>
            </w:r>
          </w:p>
        </w:tc>
        <w:tc>
          <w:tcPr>
            <w:tcW w:type="dxa" w:w="181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{{plan2_down}}</w:t>
            </w:r>
          </w:p>
        </w:tc>
        <w:tc>
          <w:tcPr>
            <w:tcW w:type="dxa" w:w="181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{{plan2_monthly}}</w:t>
            </w:r>
          </w:p>
        </w:tc>
        <w:tc>
          <w:tcPr>
            <w:tcW w:type="dxa" w:w="181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{{plan2_term}}</w:t>
            </w:r>
          </w:p>
        </w:tc>
      </w:tr>
      <w:tr>
        <w:tc>
          <w:tcPr>
            <w:tcW w:type="dxa" w:w="181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方案三</w:t>
            </w:r>
          </w:p>
        </w:tc>
        <w:tc>
          <w:tcPr>
            <w:tcW w:type="dxa" w:w="181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{{plan3_ratio}}</w:t>
            </w:r>
          </w:p>
        </w:tc>
        <w:tc>
          <w:tcPr>
            <w:tcW w:type="dxa" w:w="181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{{plan3_down}}</w:t>
            </w:r>
          </w:p>
        </w:tc>
        <w:tc>
          <w:tcPr>
            <w:tcW w:type="dxa" w:w="181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{{plan3_monthly}}</w:t>
            </w:r>
          </w:p>
        </w:tc>
        <w:tc>
          <w:tcPr>
            <w:tcW w:type="dxa" w:w="181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{{plan3_term}}</w:t>
            </w:r>
          </w:p>
        </w:tc>
      </w:tr>
    </w:tbl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注：以上月供金额为预估计算值，最终以金融机构审批结果为准。贷款利率按放款日全国银行间同业拆借中心公布的同期LPR为基准，上下浮动以银行批复为准。</w:t>
      </w:r>
    </w:p>
    <w:p>
      <w:pPr>
        <w:spacing w:before="400" w:after="200"/>
        <w:pBdr>
          <w:bottom w:val="single" w:sz="4" w:space="4" w:color="1A3C5E"/>
        </w:pBdr>
      </w:pPr>
      <w:r>
        <w:rPr>
          <w:rFonts w:ascii="黑体" w:hAnsi="黑体" w:eastAsia="黑体"/>
          <w:b/>
          <w:color w:val="1A3C5E"/>
          <w:sz w:val="24"/>
        </w:rPr>
        <w:t>六、落地费用明细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以推荐方案一（{{car_model_1}}）为测算基础，单车预估落地费用如下：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费用项目</w:t>
            </w:r>
          </w:p>
        </w:tc>
        <w:tc>
          <w:tcPr>
            <w:tcW w:type="dxa" w:w="3022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金额（元）</w:t>
            </w:r>
          </w:p>
        </w:tc>
        <w:tc>
          <w:tcPr>
            <w:tcW w:type="dxa" w:w="3022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计算依据</w:t>
            </w:r>
          </w:p>
        </w:tc>
      </w:tr>
      <w:tr>
        <w:tc>
          <w:tcPr>
            <w:tcW w:type="dxa" w:w="3022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裸车价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{{total_car_price}}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厂商指导价，最终以合同为准</w:t>
            </w:r>
          </w:p>
        </w:tc>
      </w:tr>
      <w:tr>
        <w:tc>
          <w:tcPr>
            <w:tcW w:type="dxa" w:w="3022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车辆购置税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{{purchase_tax}}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裸车价÷1.13×10%，以税务局核定为准</w:t>
            </w:r>
          </w:p>
        </w:tc>
      </w:tr>
      <w:tr>
        <w:tc>
          <w:tcPr>
            <w:tcW w:type="dxa" w:w="3022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交强险+商业险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{{insurance_fee}}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首年预估，含车损险/三者险/不计免赔</w:t>
            </w:r>
          </w:p>
        </w:tc>
      </w:tr>
      <w:tr>
        <w:tc>
          <w:tcPr>
            <w:tcW w:type="dxa" w:w="3022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上牌费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{{plate_fee}}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含验车、牌照、行驶证工本费</w:t>
            </w:r>
          </w:p>
        </w:tc>
      </w:tr>
      <w:tr>
        <w:tc>
          <w:tcPr>
            <w:tcW w:type="dxa" w:w="3022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车船税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{{vessel_tax}}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按排量及当地标准征收</w:t>
            </w:r>
          </w:p>
        </w:tc>
      </w:tr>
      <w:tr>
        <w:tc>
          <w:tcPr>
            <w:tcW w:type="dxa" w:w="3022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预估落地总价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{{landing_total}}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以上各项合计</w:t>
            </w:r>
          </w:p>
        </w:tc>
      </w:tr>
    </w:tbl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{{cost_breakdown}}</w:t>
      </w:r>
    </w:p>
    <w:p>
      <w:pPr>
        <w:spacing w:before="400" w:after="200"/>
        <w:pBdr>
          <w:bottom w:val="single" w:sz="4" w:space="4" w:color="1A3C5E"/>
        </w:pBdr>
      </w:pPr>
      <w:r>
        <w:rPr>
          <w:rFonts w:ascii="黑体" w:hAnsi="黑体" w:eastAsia="黑体"/>
          <w:b/>
          <w:color w:val="1A3C5E"/>
          <w:sz w:val="24"/>
        </w:rPr>
        <w:t>七、售后服务与增值项目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（一）随车精品礼包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{{gift_package}}（参考价值约 {{gift_value}}）。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（二）保养服务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{{maintenance_plan}}。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（三）延长保修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{{extended_warranty}}。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（四）其他增值服务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{{value_added_services}}</w:t>
      </w:r>
    </w:p>
    <w:p>
      <w:pPr>
        <w:spacing w:before="400" w:after="200"/>
        <w:pBdr>
          <w:bottom w:val="single" w:sz="4" w:space="4" w:color="1A3C5E"/>
        </w:pBdr>
      </w:pPr>
      <w:r>
        <w:rPr>
          <w:rFonts w:ascii="黑体" w:hAnsi="黑体" w:eastAsia="黑体"/>
          <w:b/>
          <w:color w:val="1A3C5E"/>
          <w:sz w:val="24"/>
        </w:rPr>
        <w:t>八、实施计划与交付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（一）实施时间表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22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3022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预计耗时</w:t>
            </w:r>
          </w:p>
        </w:tc>
      </w:tr>
      <w:tr>
        <w:tc>
          <w:tcPr>
            <w:tcW w:type="dxa" w:w="3022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需求确认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双方确认车型、配置、颜色、数量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3-5个工作日</w:t>
            </w:r>
          </w:p>
        </w:tc>
      </w:tr>
      <w:tr>
        <w:tc>
          <w:tcPr>
            <w:tcW w:type="dxa" w:w="3022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商务洽商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价格谈判、金融方案确定、合同签署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5-7个工作日</w:t>
            </w:r>
          </w:p>
        </w:tc>
      </w:tr>
      <w:tr>
        <w:tc>
          <w:tcPr>
            <w:tcW w:type="dxa" w:w="3022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车辆调配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厂家排产/调拨、物流运输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{{estimated_delivery_weeks}}</w:t>
            </w:r>
          </w:p>
        </w:tc>
      </w:tr>
      <w:tr>
        <w:tc>
          <w:tcPr>
            <w:tcW w:type="dxa" w:w="3022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交付验收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到店验收、上牌、交车仪式</w:t>
            </w:r>
          </w:p>
        </w:tc>
        <w:tc>
          <w:tcPr>
            <w:tcW w:type="dxa" w:w="302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3-5个工作日</w:t>
            </w:r>
          </w:p>
        </w:tc>
      </w:tr>
    </w:tbl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（二）交付标准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1. 车辆须为出厂日期不早于交付日6个月的全新商品车，非展车、非试驾车、非事故车。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2. 交付时提供：购车发票、车辆合格证、三包凭证、使用说明书、保养手册、PDI检测报告。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3. 交车时由双方共同验收，签署《商品车辆交接书》。</w:t>
      </w:r>
    </w:p>
    <w:p>
      <w:pPr>
        <w:spacing w:before="400" w:after="200"/>
        <w:pBdr>
          <w:bottom w:val="single" w:sz="4" w:space="4" w:color="1A3C5E"/>
        </w:pBdr>
      </w:pPr>
      <w:r>
        <w:rPr>
          <w:rFonts w:ascii="黑体" w:hAnsi="黑体" w:eastAsia="黑体"/>
          <w:b/>
          <w:color w:val="1A3C5E"/>
          <w:sz w:val="24"/>
        </w:rPr>
        <w:t>九、风险提示与免责声明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1. 以上价格为当前厂家指导价，实际成交价以签订正式购车合同为准。如遇厂家调整指导价，按合同约定执行。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2. 金融方案中的利率及月供金额为参考测算值，最终以金融机构审批结果为准。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3. 落地费用中的购置税、保险费为预估金额，实际金额以当地税务及保险机构核定为准。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4. 车辆交付时间受厂家产能、物流运输等因素影响，以上时间为正常情况下的预估周期。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5. 部分城市有限行、限牌政策，请贵公司提前了解并确认购车资质。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6. 年度用车成本估算：以年行驶 {{annual_mileage}} 公里计，燃油费约 {{annual_fuel_cost}} 元，保养费约 {{annual_maintenance_cost}} 元。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{{risk_disclaimer}}</w:t>
      </w:r>
    </w:p>
    <w:p>
      <w:pPr>
        <w:spacing w:before="400" w:after="200"/>
        <w:pBdr>
          <w:bottom w:val="single" w:sz="4" w:space="4" w:color="1A3C5E"/>
        </w:pBdr>
      </w:pPr>
      <w:r>
        <w:rPr>
          <w:rFonts w:ascii="黑体" w:hAnsi="黑体" w:eastAsia="黑体"/>
          <w:b/>
          <w:color w:val="1A3C5E"/>
          <w:sz w:val="24"/>
        </w:rPr>
        <w:t>十、商务联系</w:t>
      </w:r>
    </w:p>
    <w:p>
      <w:pPr>
        <w:spacing w:after="80" w:before="0"/>
        <w:ind w:left="420"/>
      </w:pPr>
      <w:r>
        <w:rPr>
          <w:rFonts w:ascii="宋体" w:hAnsi="宋体" w:eastAsia="宋体"/>
          <w:b w:val="0"/>
          <w:sz w:val="21"/>
        </w:rPr>
        <w:t>如贵公司对本方案有任何疑问或需进一步洽谈，请通过以下方式联系：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533"/>
        <w:gridCol w:w="4533"/>
      </w:tblGrid>
      <w:tr>
        <w:tc>
          <w:tcPr>
            <w:tcW w:type="dxa" w:w="453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3"/>
            <w:shd w:fill="1A3C5E" w:val="clear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信息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销售顾问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{{sales_rep}}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联系电话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{{sales_phone}}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电子邮箱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{{sales_email}}</w:t>
            </w:r>
          </w:p>
        </w:tc>
      </w:tr>
      <w:tr>
        <w:tc>
          <w:tcPr>
            <w:tcW w:type="dxa" w:w="4533"/>
          </w:tcPr>
          <w:p>
            <w:pPr>
              <w:spacing w:before="20" w:after="20"/>
            </w:pPr>
            <w:r/>
            <w:r>
              <w:rPr>
                <w:rFonts w:ascii="黑体" w:hAnsi="黑体" w:eastAsia="黑体"/>
                <w:b/>
                <w:sz w:val="18"/>
              </w:rPr>
              <w:t>展厅地址</w:t>
            </w:r>
          </w:p>
        </w:tc>
        <w:tc>
          <w:tcPr>
            <w:tcW w:type="dxa" w:w="453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{{showroom_address}}</w:t>
            </w:r>
          </w:p>
        </w:tc>
      </w:tr>
    </w:tbl>
    <w:p>
      <w:pPr>
        <w:spacing w:after="640" w:before="0"/>
      </w:pPr>
      <w:r>
        <w:rPr>
          <w:rFonts w:ascii="宋体" w:hAnsi="宋体" w:eastAsia="宋体"/>
          <w:b w:val="0"/>
          <w:sz w:val="21"/>
        </w:rPr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color w:val="666666"/>
          <w:sz w:val="18"/>
        </w:rPr>
        <w:t>— 本方案书依据实际市场数据编制，仅供参考。最终商务条款以双方签订的书面合同为准。—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color w:val="666666"/>
          <w:sz w:val="16"/>
        </w:rPr>
        <w:t>© {{seller_name}}  {{proposal_date}}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