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80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26.jpg" ContentType="image/jpeg"/>
  <Override PartName="/word/media/rId102.jpg" ContentType="image/jpeg"/>
  <Override PartName="/word/media/rId106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123.jpg" ContentType="image/jpeg"/>
  <Override PartName="/word/media/rId30.jpg" ContentType="image/jpeg"/>
  <Override PartName="/word/media/rId34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Нефёдова</w:t>
      </w:r>
      <w:r>
        <w:t xml:space="preserve"> </w:t>
      </w:r>
      <w:r>
        <w:t xml:space="preserve">Наталия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реализация-подпрограмм-в-nasm-1.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 1.</w:t>
      </w:r>
    </w:p>
    <w:p>
      <w:pPr>
        <w:pStyle w:val="FirstParagraph"/>
      </w:pPr>
      <w:r>
        <w:t xml:space="preserve">Создадим каталог для выполнения лабораторной работы № 10, перейдем в него и создадим файл lab10-1.asm (рис. 1)</w:t>
      </w:r>
    </w:p>
    <w:p>
      <w:pPr>
        <w:pStyle w:val="CaptionedFigure"/>
      </w:pPr>
      <w:bookmarkStart w:id="24" w:name="fig:001"/>
      <w:r>
        <w:drawing>
          <wp:inline>
            <wp:extent cx="5334000" cy="1633231"/>
            <wp:effectExtent b="0" l="0" r="0" t="0"/>
            <wp:docPr descr="Рис. 1: 1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1</w:t>
      </w:r>
    </w:p>
    <w:bookmarkEnd w:id="25"/>
    <w:bookmarkStart w:id="38" w:name="Xf710c8d12c4117b0b0c6a6473b5711e884bc1c8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Пример программы с использованием вызова подпрограммы</w:t>
      </w:r>
    </w:p>
    <w:p>
      <w:pPr>
        <w:pStyle w:val="FirstParagraph"/>
      </w:pPr>
      <w:r>
        <w:t xml:space="preserve">Рассмотрим программу с использованием вызова подпрограммы(рис. 2), (рис. 3)</w:t>
      </w:r>
    </w:p>
    <w:p>
      <w:pPr>
        <w:pStyle w:val="CaptionedFigure"/>
      </w:pPr>
      <w:bookmarkStart w:id="29" w:name="fig:002"/>
      <w:r>
        <w:drawing>
          <wp:inline>
            <wp:extent cx="5334000" cy="5520153"/>
            <wp:effectExtent b="0" l="0" r="0" t="0"/>
            <wp:docPr descr="Рис. 2: 2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2</w:t>
      </w:r>
    </w:p>
    <w:p>
      <w:pPr>
        <w:pStyle w:val="CaptionedFigure"/>
      </w:pPr>
      <w:bookmarkStart w:id="33" w:name="fig:003"/>
      <w:r>
        <w:drawing>
          <wp:inline>
            <wp:extent cx="5334000" cy="3886510"/>
            <wp:effectExtent b="0" l="0" r="0" t="0"/>
            <wp:docPr descr="Рис. 3: 3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3</w:t>
      </w:r>
    </w:p>
    <w:p>
      <w:pPr>
        <w:pStyle w:val="BodyText"/>
      </w:pPr>
      <w:r>
        <w:t xml:space="preserve">Первые строки программы отвечают за вывод сообщения на экран (call sprint), чтение данных введенных с клавиатуры (call sread) и преобразования введенных данных из символьного вида в численный (call atoi).</w:t>
      </w:r>
      <w:r>
        <w:t xml:space="preserve"> </w:t>
      </w:r>
      <w:r>
        <w:t xml:space="preserve">После следующей инструкции call _calcul, которая передает управление подпрограмме _calcul, будут выполнены инструкции подпрограммы:</w:t>
      </w:r>
      <w:r>
        <w:t xml:space="preserve"> </w:t>
      </w:r>
      <w:r>
        <w:t xml:space="preserve">mov ebx,2</w:t>
      </w:r>
      <w:r>
        <w:t xml:space="preserve"> </w:t>
      </w:r>
      <w:r>
        <w:t xml:space="preserve">mul ebx</w:t>
      </w:r>
      <w:r>
        <w:t xml:space="preserve"> </w:t>
      </w:r>
      <w:r>
        <w:t xml:space="preserve">add eax,7</w:t>
      </w:r>
      <w:r>
        <w:t xml:space="preserve"> </w:t>
      </w:r>
      <w:r>
        <w:t xml:space="preserve">mov [rez],eax</w:t>
      </w:r>
      <w:r>
        <w:t xml:space="preserve"> </w:t>
      </w:r>
      <w:r>
        <w:t xml:space="preserve">ret</w:t>
      </w:r>
    </w:p>
    <w:p>
      <w:pPr>
        <w:pStyle w:val="BodyText"/>
      </w:pPr>
      <w:r>
        <w:t xml:space="preserve">Инструкция ret является последней в подпрограмме и ее исполнение приводит к возвращению в основную программу к инструкции, следующей за инструкцией call, которая вызвала данную подпрограмму.</w:t>
      </w:r>
      <w:r>
        <w:t xml:space="preserve"> </w:t>
      </w:r>
      <w:r>
        <w:t xml:space="preserve">Последние строки программы реализую вывод сообщения (call sprint), результата вычисления (call iprintLF) и завершение программы (call quit).</w:t>
      </w:r>
      <w:r>
        <w:t xml:space="preserve"> </w:t>
      </w:r>
      <w:r>
        <w:t xml:space="preserve">Проверим работу программы и выведем результат на экран.</w:t>
      </w:r>
    </w:p>
    <w:p>
      <w:pPr>
        <w:pStyle w:val="BodyText"/>
      </w:pPr>
      <w:r>
        <w:t xml:space="preserve">Изменим текст программы, добавив подпрограмму _subcalcul в подпрограмму_calcul, для вычисления выражения f(g(x)), где x вводится с клавиатуры, f(x) = 2x+ 7, g(x) = 3x − 1. Т.е. x передается в подпрограмму _calcul, из нее подпрограмму_subcalcul,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 (рис. 4)</w:t>
      </w:r>
    </w:p>
    <w:p>
      <w:pPr>
        <w:pStyle w:val="CaptionedFigure"/>
      </w:pPr>
      <w:bookmarkStart w:id="37" w:name="fig:004"/>
      <w:r>
        <w:drawing>
          <wp:inline>
            <wp:extent cx="5334000" cy="2500312"/>
            <wp:effectExtent b="0" l="0" r="0" t="0"/>
            <wp:docPr descr="Рис. 4: 4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4</w:t>
      </w:r>
    </w:p>
    <w:bookmarkEnd w:id="38"/>
    <w:bookmarkStart w:id="79" w:name="отладка-программам-с-помощью-gdb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Создадим файл lab10-2.asm с текстом программы из Листинга 10.2. (Программа печати сообщения Hello world!): Листинг 10.2. Программа вывода сообщения Hello world! (рис. 5), (рис. 6)</w:t>
      </w:r>
    </w:p>
    <w:p>
      <w:pPr>
        <w:pStyle w:val="CaptionedFigure"/>
      </w:pPr>
      <w:bookmarkStart w:id="42" w:name="fig:005"/>
      <w:r>
        <w:drawing>
          <wp:inline>
            <wp:extent cx="5334000" cy="1135695"/>
            <wp:effectExtent b="0" l="0" r="0" t="0"/>
            <wp:docPr descr="Рис. 5: 5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5</w:t>
      </w:r>
    </w:p>
    <w:p>
      <w:pPr>
        <w:pStyle w:val="CaptionedFigure"/>
      </w:pPr>
      <w:bookmarkStart w:id="46" w:name="fig:006"/>
      <w:r>
        <w:drawing>
          <wp:inline>
            <wp:extent cx="5334000" cy="4509988"/>
            <wp:effectExtent b="0" l="0" r="0" t="0"/>
            <wp:docPr descr="Рис. 6: 6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6</w:t>
      </w:r>
    </w:p>
    <w:p>
      <w:pPr>
        <w:pStyle w:val="BodyText"/>
      </w:pPr>
      <w:r>
        <w:t xml:space="preserve">Получим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nasm -f elf -g -l lab10-2.lst lab10-2.asm ld -m elf_i386 -o lab10-2 lab10-2.o Загрузим исполняемый файл в отладчик gdb: (рис. 7)</w:t>
      </w:r>
    </w:p>
    <w:p>
      <w:pPr>
        <w:pStyle w:val="CaptionedFigure"/>
      </w:pPr>
      <w:bookmarkStart w:id="50" w:name="fig:007"/>
      <w:r>
        <w:drawing>
          <wp:inline>
            <wp:extent cx="5334000" cy="2928791"/>
            <wp:effectExtent b="0" l="0" r="0" t="0"/>
            <wp:docPr descr="Рис. 7: 7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7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(сокращённо r) (рис. 8), (рис. 9)</w:t>
      </w:r>
    </w:p>
    <w:p>
      <w:pPr>
        <w:pStyle w:val="CaptionedFigure"/>
      </w:pPr>
      <w:bookmarkStart w:id="54" w:name="fig:008"/>
      <w:r>
        <w:drawing>
          <wp:inline>
            <wp:extent cx="5334000" cy="864827"/>
            <wp:effectExtent b="0" l="0" r="0" t="0"/>
            <wp:docPr descr="Рис. 8: 8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8</w:t>
      </w:r>
    </w:p>
    <w:p>
      <w:pPr>
        <w:pStyle w:val="CaptionedFigure"/>
      </w:pPr>
      <w:bookmarkStart w:id="58" w:name="fig:009"/>
      <w:r>
        <w:drawing>
          <wp:inline>
            <wp:extent cx="5334000" cy="652119"/>
            <wp:effectExtent b="0" l="0" r="0" t="0"/>
            <wp:docPr descr="Рис. 9: 9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9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её. (рис. 10), (рис. 11)</w:t>
      </w:r>
    </w:p>
    <w:p>
      <w:pPr>
        <w:pStyle w:val="CaptionedFigure"/>
      </w:pPr>
      <w:bookmarkStart w:id="62" w:name="fig:010"/>
      <w:r>
        <w:drawing>
          <wp:inline>
            <wp:extent cx="5334000" cy="1458424"/>
            <wp:effectExtent b="0" l="0" r="0" t="0"/>
            <wp:docPr descr="Рис. 10: 10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10</w:t>
      </w:r>
    </w:p>
    <w:p>
      <w:pPr>
        <w:pStyle w:val="CaptionedFigure"/>
      </w:pPr>
      <w:bookmarkStart w:id="66" w:name="fig:011"/>
      <w:r>
        <w:drawing>
          <wp:inline>
            <wp:extent cx="5334000" cy="1967653"/>
            <wp:effectExtent b="0" l="0" r="0" t="0"/>
            <wp:docPr descr="Рис. 11: 11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11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 (рис. 12)</w:t>
      </w:r>
    </w:p>
    <w:p>
      <w:pPr>
        <w:pStyle w:val="CaptionedFigure"/>
      </w:pPr>
      <w:bookmarkStart w:id="70" w:name="fig:012"/>
      <w:r>
        <w:drawing>
          <wp:inline>
            <wp:extent cx="5334000" cy="2804948"/>
            <wp:effectExtent b="0" l="0" r="0" t="0"/>
            <wp:docPr descr="Рис. 12: 12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12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 (gdb) set disassembly-flavor intel (gdb) disassemble _start (рис. 13)</w:t>
      </w:r>
    </w:p>
    <w:p>
      <w:pPr>
        <w:pStyle w:val="CaptionedFigure"/>
      </w:pPr>
      <w:bookmarkStart w:id="74" w:name="fig:013"/>
      <w:r>
        <w:drawing>
          <wp:inline>
            <wp:extent cx="5334000" cy="2841086"/>
            <wp:effectExtent b="0" l="0" r="0" t="0"/>
            <wp:docPr descr="Рис. 13: 13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13</w:t>
      </w:r>
    </w:p>
    <w:p>
      <w:pPr>
        <w:pStyle w:val="BodyText"/>
      </w:pPr>
      <w:r>
        <w:t xml:space="preserve">В этом режиме есть три окна: - В верхней части видны названия регистров и их текущие значения; - В средней части виден результат дисассимилирования программы; - Нижняя часть доступна для ввода команд. (рис. 14)</w:t>
      </w:r>
    </w:p>
    <w:p>
      <w:pPr>
        <w:pStyle w:val="CaptionedFigure"/>
      </w:pPr>
      <w:bookmarkStart w:id="78" w:name="fig:014"/>
      <w:r>
        <w:drawing>
          <wp:inline>
            <wp:extent cx="5334000" cy="3249818"/>
            <wp:effectExtent b="0" l="0" r="0" t="0"/>
            <wp:docPr descr="Рис. 14: 14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14</w:t>
      </w:r>
    </w:p>
    <w:bookmarkEnd w:id="79"/>
    <w:bookmarkStart w:id="84" w:name="добавление-точек-останова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или как номер строки программы (имеет смысл, если есть исходный файл, а программа компилировалась с информацией об отладке), или как имя метки, или как адрес. Чтобы не было путаницы с номерами, перед адресом ставится «звёздочка»: На предыдущих шагах была установлена точка останова по имени метки (_start). Проверим это с помощью команды info breakpoints (кратко i b): (gdb) info breakpoints. (рис. 15)</w:t>
      </w:r>
    </w:p>
    <w:p>
      <w:pPr>
        <w:pStyle w:val="CaptionedFigure"/>
      </w:pPr>
      <w:bookmarkStart w:id="83" w:name="fig:015"/>
      <w:r>
        <w:drawing>
          <wp:inline>
            <wp:extent cx="5334000" cy="1324668"/>
            <wp:effectExtent b="0" l="0" r="0" t="0"/>
            <wp:docPr descr="Рис. 15: 15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15</w:t>
      </w:r>
    </w:p>
    <w:bookmarkEnd w:id="84"/>
    <w:bookmarkStart w:id="101" w:name="работа-с-данными-программы-в-gdb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Выполним 5 инструкций с помощью команды stepi (или si) и проследим за изменением значений регистров. Посмотреть содержимое регистров также можно с помощью команды info registers (или i r). (gdb) info registers (рис. 16)</w:t>
      </w:r>
    </w:p>
    <w:p>
      <w:pPr>
        <w:pStyle w:val="CaptionedFigure"/>
      </w:pPr>
      <w:bookmarkStart w:id="88" w:name="fig:016"/>
      <w:r>
        <w:drawing>
          <wp:inline>
            <wp:extent cx="3901440" cy="701040"/>
            <wp:effectExtent b="0" l="0" r="0" t="0"/>
            <wp:docPr descr="Рис. 16: 16" title="" id="86" name="Picture"/>
            <a:graphic>
              <a:graphicData uri="http://schemas.openxmlformats.org/drawingml/2006/picture">
                <pic:pic>
                  <pic:nvPicPr>
                    <pic:cNvPr descr="image/16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16</w:t>
      </w:r>
    </w:p>
    <w:p>
      <w:pPr>
        <w:pStyle w:val="BodyText"/>
      </w:pPr>
      <w:r>
        <w:t xml:space="preserve">Посмотрите значение переменной msg2 по адресу. (рис. 17)</w:t>
      </w:r>
    </w:p>
    <w:p>
      <w:pPr>
        <w:pStyle w:val="CaptionedFigure"/>
      </w:pPr>
      <w:bookmarkStart w:id="92" w:name="fig:017"/>
      <w:r>
        <w:drawing>
          <wp:inline>
            <wp:extent cx="2979420" cy="434340"/>
            <wp:effectExtent b="0" l="0" r="0" t="0"/>
            <wp:docPr descr="Рис. 17: 17" title="" id="90" name="Picture"/>
            <a:graphic>
              <a:graphicData uri="http://schemas.openxmlformats.org/drawingml/2006/picture">
                <pic:pic>
                  <pic:nvPicPr>
                    <pic:cNvPr descr="image/1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17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 Изменим первый символ переменной msg1. (рис. 18)</w:t>
      </w:r>
    </w:p>
    <w:p>
      <w:pPr>
        <w:pStyle w:val="CaptionedFigure"/>
      </w:pPr>
      <w:bookmarkStart w:id="96" w:name="fig:018"/>
      <w:r>
        <w:drawing>
          <wp:inline>
            <wp:extent cx="5334000" cy="942042"/>
            <wp:effectExtent b="0" l="0" r="0" t="0"/>
            <wp:docPr descr="Рис. 18: 18" title="" id="94" name="Picture"/>
            <a:graphic>
              <a:graphicData uri="http://schemas.openxmlformats.org/drawingml/2006/picture">
                <pic:pic>
                  <pic:nvPicPr>
                    <pic:cNvPr descr="image/18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18</w:t>
      </w:r>
    </w:p>
    <w:p>
      <w:pPr>
        <w:pStyle w:val="BodyText"/>
      </w:pPr>
      <w:r>
        <w:t xml:space="preserve">Заменим второй символ в переменной msg2 (рис. 19)</w:t>
      </w:r>
    </w:p>
    <w:p>
      <w:pPr>
        <w:pStyle w:val="CaptionedFigure"/>
      </w:pPr>
      <w:bookmarkStart w:id="100" w:name="fig:019"/>
      <w:r>
        <w:drawing>
          <wp:inline>
            <wp:extent cx="5006340" cy="1043940"/>
            <wp:effectExtent b="0" l="0" r="0" t="0"/>
            <wp:docPr descr="Рис. 19: 19" title="" id="98" name="Picture"/>
            <a:graphic>
              <a:graphicData uri="http://schemas.openxmlformats.org/drawingml/2006/picture">
                <pic:pic>
                  <pic:nvPicPr>
                    <pic:cNvPr descr="image/19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19</w:t>
      </w:r>
    </w:p>
    <w:p>
      <w:pPr>
        <w:pStyle w:val="BodyText"/>
      </w:pPr>
      <w:r>
        <w:t xml:space="preserve">Чтобы посмотреть значения регистров используется команда print /F (перед именем регистра обязательно ставится префикс $.</w:t>
      </w:r>
    </w:p>
    <w:p>
      <w:pPr>
        <w:pStyle w:val="BodyText"/>
      </w:pPr>
      <w:r>
        <w:t xml:space="preserve">Завершим выполнение программы с помощью команды continue (сокращенно c) и выйдем из GDB с помощью команды quit (сокращенно q).</w:t>
      </w:r>
    </w:p>
    <w:bookmarkEnd w:id="101"/>
    <w:bookmarkStart w:id="110" w:name="X34484a9d02dddcc072527afae661c9b27116987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lab9-2.asm, созданный при выполнении лабораторной работы №9, с программой выводящей на экран аргументы командной строки в файл с именем lab10-3.asm и создадим исполняемый файл. (рис. 20)</w:t>
      </w:r>
    </w:p>
    <w:p>
      <w:pPr>
        <w:pStyle w:val="CaptionedFigure"/>
      </w:pPr>
      <w:bookmarkStart w:id="105" w:name="fig:020"/>
      <w:r>
        <w:drawing>
          <wp:inline>
            <wp:extent cx="5334000" cy="1670891"/>
            <wp:effectExtent b="0" l="0" r="0" t="0"/>
            <wp:docPr descr="Рис. 20: 20" title="" id="103" name="Picture"/>
            <a:graphic>
              <a:graphicData uri="http://schemas.openxmlformats.org/drawingml/2006/picture">
                <pic:pic>
                  <pic:nvPicPr>
                    <pic:cNvPr descr="image/20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20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 командной строки загружаются в стек. Для начала установим точку останова перед первой инструкцией в программе и запустим ее. (рис. 21)</w:t>
      </w:r>
    </w:p>
    <w:p>
      <w:pPr>
        <w:pStyle w:val="CaptionedFigure"/>
      </w:pPr>
      <w:bookmarkStart w:id="109" w:name="fig:021"/>
      <w:r>
        <w:drawing>
          <wp:inline>
            <wp:extent cx="5334000" cy="2163096"/>
            <wp:effectExtent b="0" l="0" r="0" t="0"/>
            <wp:docPr descr="Рис. 21: 21" title="" id="107" name="Picture"/>
            <a:graphic>
              <a:graphicData uri="http://schemas.openxmlformats.org/drawingml/2006/picture">
                <pic:pic>
                  <pic:nvPicPr>
                    <pic:cNvPr descr="image/21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21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программы). Как видно, число аргументов равно 4 - расположение программы и три аргумента.</w:t>
      </w:r>
    </w:p>
    <w:p>
      <w:pPr>
        <w:pStyle w:val="BodyText"/>
      </w:pPr>
      <w:r>
        <w:t xml:space="preserve">Посмотрим остальные позиции стека – по адесу [esp+4] располагается адрес в памяти где находиться имя программы, по адесу [esp+8] храниться адрес первого аргумента, по аресу [esp+12] – второго и т.д.</w:t>
      </w:r>
    </w:p>
    <w:bookmarkEnd w:id="110"/>
    <w:bookmarkStart w:id="12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1"/>
        </w:numPr>
      </w:pPr>
      <w:r>
        <w:t xml:space="preserve">Преобразуем программу из лабораторной работы №9 (Задание №1 для самостоятельной работы), реализовав вычисление значения функции f(x) как подпрограмму.</w:t>
      </w:r>
    </w:p>
    <w:p>
      <w:pPr>
        <w:numPr>
          <w:ilvl w:val="0"/>
          <w:numId w:val="1001"/>
        </w:numPr>
      </w:pPr>
      <w:r>
        <w:t xml:space="preserve">В листинге 10.3 приведена программа вычисления выражения (3+2)*4+5. При запуске данная программа дает неверный результат. Проверим это. С помощью отладчика GDB, анализируя изменения значений регистров, определим ошибку и исправим ее. (рис. 22), (рис. 23), (рис. 24)</w:t>
      </w:r>
    </w:p>
    <w:p>
      <w:pPr>
        <w:pStyle w:val="CaptionedFigure"/>
      </w:pPr>
      <w:bookmarkStart w:id="114" w:name="fig:022"/>
      <w:r>
        <w:drawing>
          <wp:inline>
            <wp:extent cx="4343400" cy="5463540"/>
            <wp:effectExtent b="0" l="0" r="0" t="0"/>
            <wp:docPr descr="Рис. 22: 22" title="" id="112" name="Picture"/>
            <a:graphic>
              <a:graphicData uri="http://schemas.openxmlformats.org/drawingml/2006/picture">
                <pic:pic>
                  <pic:nvPicPr>
                    <pic:cNvPr descr="image/2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63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22</w:t>
      </w:r>
    </w:p>
    <w:p>
      <w:pPr>
        <w:pStyle w:val="CaptionedFigure"/>
      </w:pPr>
      <w:bookmarkStart w:id="118" w:name="fig:023"/>
      <w:r>
        <w:drawing>
          <wp:inline>
            <wp:extent cx="5166360" cy="4655820"/>
            <wp:effectExtent b="0" l="0" r="0" t="0"/>
            <wp:docPr descr="Рис. 23: 23" title="" id="116" name="Picture"/>
            <a:graphic>
              <a:graphicData uri="http://schemas.openxmlformats.org/drawingml/2006/picture">
                <pic:pic>
                  <pic:nvPicPr>
                    <pic:cNvPr descr="image/23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23</w:t>
      </w:r>
    </w:p>
    <w:p>
      <w:pPr>
        <w:pStyle w:val="CaptionedFigure"/>
      </w:pPr>
      <w:bookmarkStart w:id="122" w:name="fig:024"/>
      <w:r>
        <w:drawing>
          <wp:inline>
            <wp:extent cx="5334000" cy="3263332"/>
            <wp:effectExtent b="0" l="0" r="0" t="0"/>
            <wp:docPr descr="Рис. 24: 24" title="" id="120" name="Picture"/>
            <a:graphic>
              <a:graphicData uri="http://schemas.openxmlformats.org/drawingml/2006/picture">
                <pic:pic>
                  <pic:nvPicPr>
                    <pic:cNvPr descr="image/24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24: 24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 отправляется ebx вместо eax (рис. 25)</w:t>
      </w:r>
    </w:p>
    <w:p>
      <w:pPr>
        <w:pStyle w:val="CaptionedFigure"/>
      </w:pPr>
      <w:bookmarkStart w:id="126" w:name="fig:025"/>
      <w:r>
        <w:drawing>
          <wp:inline>
            <wp:extent cx="5334000" cy="4351242"/>
            <wp:effectExtent b="0" l="0" r="0" t="0"/>
            <wp:docPr descr="Рис. 25: 25" title="" id="124" name="Picture"/>
            <a:graphic>
              <a:graphicData uri="http://schemas.openxmlformats.org/drawingml/2006/picture">
                <pic:pic>
                  <pic:nvPicPr>
                    <pic:cNvPr descr="image/2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25: 25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были приобретены навыки написания программ</w:t>
      </w:r>
      <w:r>
        <w:t xml:space="preserve"> </w:t>
      </w:r>
      <w:r>
        <w:t xml:space="preserve">с использованием подпрограмм и изучены методы отладки при помощи GDB и</w:t>
      </w:r>
      <w:r>
        <w:t xml:space="preserve"> </w:t>
      </w:r>
      <w:r>
        <w:t xml:space="preserve">его основные возможности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80" Target="media/rId80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26" Target="media/rId26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Нефёдова Наталия Николаевна</dc:creator>
  <dc:language>ru-RU</dc:language>
  <cp:keywords/>
  <dcterms:created xsi:type="dcterms:W3CDTF">2023-01-10T08:59:04Z</dcterms:created>
  <dcterms:modified xsi:type="dcterms:W3CDTF">2023-01-10T08:59:04Z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