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Нефедова Наталия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понятие гармонического осциллятора, построить фазовый портрет и найти решение уравнения гармонического осциллятора.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</w:pPr>
      <w:r>
        <w:t xml:space="preserve">Гармонический осциллятор [1] — система, которая при смещении из положения равновесия испытывает действие возвращающей силы F, пропорциональной смещению x.</w:t>
      </w:r>
    </w:p>
    <w:p>
      <w:pPr>
        <w:numPr>
          <w:ilvl w:val="0"/>
          <w:numId w:val="1001"/>
        </w:numPr>
      </w:pPr>
      <w:r>
        <w:t xml:space="preserve">Гармоническое колебание [2] - колебание, в процессе которого величины, характеризующие движение (смещение, скорость, ускорение и др.), изменяются по закону синуса или косинуса (гармоническому закону).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  <w:r>
        <w:t xml:space="preserve"> </w:t>
      </w: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 грузика, заряд конденсатора и т.д.),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 (трение в механической системе, сопротивление в контуре),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колебаний.</w:t>
      </w:r>
      <w:r>
        <w:t xml:space="preserve"> </w:t>
      </w:r>
      <w:r>
        <w:t xml:space="preserve">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При отсутствии потерь в системе (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) получаем уравнение консервативного осциллятора энергия колебания которого сохраняется во времени.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Уравнение второго порядка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системы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 фазовое пространство системы, поскольку оно двумерно будем называть его фазовой плоскостью.</w:t>
      </w:r>
    </w:p>
    <w:p>
      <w:pPr>
        <w:pStyle w:val="BodyText"/>
      </w:pPr>
      <w:r>
        <w:t xml:space="preserve">Значение фазовых координат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 фазовой траекторией. Если множество различных решений (соответствующих различным</w:t>
      </w:r>
      <w:r>
        <w:t xml:space="preserve"> </w:t>
      </w:r>
      <w:r>
        <w:t xml:space="preserve">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 фазовым портретом.</w:t>
      </w:r>
    </w:p>
    <w:bookmarkEnd w:id="21"/>
    <w:bookmarkStart w:id="22" w:name="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Задачи</w:t>
      </w:r>
    </w:p>
    <w:p>
      <w:pPr>
        <w:numPr>
          <w:ilvl w:val="0"/>
          <w:numId w:val="1002"/>
        </w:numPr>
      </w:pPr>
      <w:r>
        <w:t xml:space="preserve">Разобраться в понятии гармонического осциллятора</w:t>
      </w:r>
    </w:p>
    <w:p>
      <w:pPr>
        <w:numPr>
          <w:ilvl w:val="0"/>
          <w:numId w:val="1002"/>
        </w:numPr>
      </w:pPr>
      <w:r>
        <w:t xml:space="preserve">Ознакомиться с уравнением свободных колебаний гармонического осциллятора</w:t>
      </w:r>
    </w:p>
    <w:p>
      <w:pPr>
        <w:numPr>
          <w:ilvl w:val="0"/>
          <w:numId w:val="1002"/>
        </w:numPr>
      </w:pPr>
      <w:r>
        <w:t xml:space="preserve">Построить фазовый портрет гармонического осциллятора и решение уравнения на языках Julia и Open Modelica гармонического осциллятора для следующих случаев:</w:t>
      </w:r>
    </w:p>
    <w:p>
      <w:pPr>
        <w:numPr>
          <w:ilvl w:val="0"/>
          <w:numId w:val="1003"/>
        </w:numPr>
      </w:pPr>
      <w:r>
        <w:t xml:space="preserve">Колебания гармонического осциллятора без затуханий и без действий внешней силы</w:t>
      </w:r>
    </w:p>
    <w:p>
      <w:pPr>
        <w:numPr>
          <w:ilvl w:val="0"/>
          <w:numId w:val="1003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numPr>
          <w:ilvl w:val="0"/>
          <w:numId w:val="1003"/>
        </w:numPr>
      </w:pPr>
      <w:r>
        <w:t xml:space="preserve">Колебания гармонического осциллятора c затуханием и под действием внешней силы</w:t>
      </w:r>
    </w:p>
    <w:bookmarkEnd w:id="22"/>
    <w:bookmarkStart w:id="23" w:name="зада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58:</w:t>
      </w:r>
    </w:p>
    <w:p>
      <w:pPr>
        <w:pStyle w:val="BodyText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случаев:</w:t>
      </w:r>
    </w:p>
    <w:p>
      <w:pPr>
        <w:pStyle w:val="Compact"/>
        <w:numPr>
          <w:ilvl w:val="0"/>
          <w:numId w:val="1004"/>
        </w:numPr>
      </w:pPr>
      <w:r>
        <w:t xml:space="preserve">Колебания гармонического осциллятора без затуханий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3.7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Колебания гармонического осциллятора c затуханием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4"/>
        </w:numPr>
      </w:pPr>
      <w:r>
        <w:t xml:space="preserve">Колебания гармонического осциллятора c затуханием и под действием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=</m:t>
        </m:r>
        <m:r>
          <m:t>0.9</m:t>
        </m:r>
        <m:r>
          <m:t>c</m:t>
        </m:r>
        <m:r>
          <m:t>o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0.9</m:t>
            </m:r>
            <m:r>
              <m:t>t</m:t>
            </m:r>
          </m:e>
        </m:d>
      </m:oMath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63</m:t>
            </m:r>
          </m:e>
        </m:d>
      </m:oMath>
      <w:r>
        <w:t xml:space="preserve"> </w:t>
      </w:r>
      <w:r>
        <w:t xml:space="preserve">(шаг</w:t>
      </w:r>
      <w:r>
        <w:t xml:space="preserve"> </w:t>
      </w:r>
      <m:oMath>
        <m:r>
          <m:t>0.05</m:t>
        </m:r>
      </m:oMath>
      <w:r>
        <w:t xml:space="preserve">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1.1</m:t>
        </m:r>
      </m:oMath>
      <w:r>
        <w:t xml:space="preserve">.</w:t>
      </w:r>
    </w:p>
    <w:bookmarkEnd w:id="23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50" w:name="X38ecfa8bd1d9931fb6f8cd8559cb494816d89b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Построение математической модели. Решение с помощью программ</w:t>
      </w:r>
    </w:p>
    <w:bookmarkStart w:id="24" w:name="julia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Julia</w:t>
      </w:r>
    </w:p>
    <w:p>
      <w:pPr>
        <w:pStyle w:val="FirstParagraph"/>
      </w:pPr>
      <w:r>
        <w:t xml:space="preserve">Код программы для первого случая:</w:t>
      </w:r>
    </w:p>
    <w:p>
      <w:pPr>
        <w:pStyle w:val="SourceCode"/>
      </w:pPr>
      <w:r>
        <w:rPr>
          <w:rStyle w:val="VerbatimChar"/>
        </w:rPr>
        <w:t xml:space="preserve">#case 1</w:t>
      </w:r>
      <w:r>
        <w:br/>
      </w:r>
      <w:r>
        <w:rPr>
          <w:rStyle w:val="VerbatimChar"/>
        </w:rPr>
        <w:t xml:space="preserve"># x'' + 3.7x = 0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-a*u[1]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const x = 0.1</w:t>
      </w:r>
      <w:r>
        <w:br/>
      </w:r>
      <w:r>
        <w:rPr>
          <w:rStyle w:val="VerbatimChar"/>
        </w:rPr>
        <w:t xml:space="preserve">const y = 1.1</w:t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(3.7)</w:t>
      </w:r>
      <w:r>
        <w:br/>
      </w:r>
      <w:r>
        <w:rPr>
          <w:rStyle w:val="VerbatimChar"/>
        </w:rPr>
        <w:t xml:space="preserve">tspan = (0.0, 63.0)</w:t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using Plots; gr()</w:t>
      </w:r>
      <w:r>
        <w:br/>
      </w:r>
      <w:r>
        <w:br/>
      </w:r>
      <w:r>
        <w:rPr>
          <w:rStyle w:val="VerbatimChar"/>
        </w:rPr>
        <w:t xml:space="preserve">#решение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savefig("lab4_julia_1.png")</w:t>
      </w:r>
      <w:r>
        <w:br/>
      </w:r>
      <w:r>
        <w:br/>
      </w:r>
      <w:r>
        <w:rPr>
          <w:rStyle w:val="VerbatimChar"/>
        </w:rPr>
        <w:t xml:space="preserve">#фазовый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savefig("lab4_julia_1_ph.png")</w:t>
      </w:r>
      <w:r>
        <w:br/>
      </w:r>
    </w:p>
    <w:p>
      <w:pPr>
        <w:pStyle w:val="FirstParagraph"/>
      </w:pPr>
      <w:r>
        <w:t xml:space="preserve">Код программы для второго случая:</w:t>
      </w:r>
    </w:p>
    <w:p>
      <w:pPr>
        <w:pStyle w:val="SourceCode"/>
      </w:pPr>
      <w:r>
        <w:rPr>
          <w:rStyle w:val="VerbatimChar"/>
        </w:rPr>
        <w:t xml:space="preserve">#case 2</w:t>
      </w:r>
      <w:r>
        <w:br/>
      </w:r>
      <w:r>
        <w:rPr>
          <w:rStyle w:val="VerbatimChar"/>
        </w:rPr>
        <w:t xml:space="preserve"># x'' + 3x' + 10x = 0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a, b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-a*du[1] - b*u[1] 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const x = 0.1</w:t>
      </w:r>
      <w:r>
        <w:br/>
      </w:r>
      <w:r>
        <w:rPr>
          <w:rStyle w:val="VerbatimChar"/>
        </w:rPr>
        <w:t xml:space="preserve">const y = 1.1</w:t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(sqrt(3), 10)</w:t>
      </w:r>
      <w:r>
        <w:br/>
      </w:r>
      <w:r>
        <w:rPr>
          <w:rStyle w:val="VerbatimChar"/>
        </w:rPr>
        <w:t xml:space="preserve">tspan = (0.0, 63.0)</w:t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using Plots; gr()</w:t>
      </w:r>
      <w:r>
        <w:br/>
      </w:r>
      <w:r>
        <w:br/>
      </w:r>
      <w:r>
        <w:rPr>
          <w:rStyle w:val="VerbatimChar"/>
        </w:rPr>
        <w:t xml:space="preserve">#решение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savefig("lab4_julia_2.png")</w:t>
      </w:r>
      <w:r>
        <w:br/>
      </w:r>
      <w:r>
        <w:br/>
      </w:r>
      <w:r>
        <w:rPr>
          <w:rStyle w:val="VerbatimChar"/>
        </w:rPr>
        <w:t xml:space="preserve">#фазовый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savefig("lab4_julia_2_ph.png")</w:t>
      </w:r>
      <w:r>
        <w:br/>
      </w:r>
      <w:r>
        <w:br/>
      </w:r>
    </w:p>
    <w:p>
      <w:pPr>
        <w:pStyle w:val="FirstParagraph"/>
      </w:pPr>
      <w:r>
        <w:t xml:space="preserve">Код программы для третьего случая:</w:t>
      </w:r>
    </w:p>
    <w:p>
      <w:pPr>
        <w:pStyle w:val="SourceCode"/>
      </w:pPr>
      <w:r>
        <w:rPr>
          <w:rStyle w:val="VerbatimChar"/>
        </w:rPr>
        <w:t xml:space="preserve">#case 3</w:t>
      </w:r>
      <w:r>
        <w:br/>
      </w:r>
      <w:r>
        <w:rPr>
          <w:rStyle w:val="VerbatimChar"/>
        </w:rPr>
        <w:t xml:space="preserve"># x'' + 3x' + 11x = 0.9cos(0.9t)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a, b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-a*du[1] - b*u[1] + 0.9*cos(0.9*t)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const x = 0</w:t>
      </w:r>
      <w:r>
        <w:br/>
      </w:r>
      <w:r>
        <w:rPr>
          <w:rStyle w:val="VerbatimChar"/>
        </w:rPr>
        <w:t xml:space="preserve">const y = 1.1</w:t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(sqrt(3), 11)</w:t>
      </w:r>
      <w:r>
        <w:br/>
      </w:r>
      <w:r>
        <w:rPr>
          <w:rStyle w:val="VerbatimChar"/>
        </w:rPr>
        <w:t xml:space="preserve">tspan = (0.0, 63.0)</w:t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using Plots; gr()</w:t>
      </w:r>
      <w:r>
        <w:br/>
      </w:r>
      <w:r>
        <w:br/>
      </w:r>
      <w:r>
        <w:rPr>
          <w:rStyle w:val="VerbatimChar"/>
        </w:rPr>
        <w:t xml:space="preserve">#решение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savefig("lab4_julia_3.png")</w:t>
      </w:r>
      <w:r>
        <w:br/>
      </w:r>
      <w:r>
        <w:br/>
      </w:r>
      <w:r>
        <w:rPr>
          <w:rStyle w:val="VerbatimChar"/>
        </w:rPr>
        <w:t xml:space="preserve">#фазовый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savefig("lab4_julia_3_phase.png")</w:t>
      </w:r>
    </w:p>
    <w:bookmarkEnd w:id="24"/>
    <w:bookmarkStart w:id="49" w:name="результаты-работы-кода-на-julia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Результаты работы кода на Julia</w:t>
      </w:r>
    </w:p>
    <w:p>
      <w:pPr>
        <w:pStyle w:val="FirstParagraph"/>
      </w:pPr>
      <w:r>
        <w:t xml:space="preserve">Первый случай:</w:t>
      </w:r>
    </w:p>
    <w:p>
      <w:pPr>
        <w:pStyle w:val="BodyText"/>
      </w:pPr>
      <w:r>
        <w:t xml:space="preserve">Колебания гармонического осциллятора без затуханий и без действий внешней силы</w:t>
      </w:r>
    </w:p>
    <w:bookmarkStart w:id="28" w:name="fig:001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1: “Решение уравнения для колебания гармонического осциллятора без затуханий и без действий внешней силы на языке Julia”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</w:t>
      </w:r>
      <w:r>
        <w:t xml:space="preserve"> </w:t>
      </w:r>
      <w:r>
        <w:t xml:space="preserve">“Решение уравнения для колебания гармонического осциллятора без затуханий и без действий внешней силы на языке Julia”</w:t>
      </w:r>
    </w:p>
    <w:bookmarkEnd w:id="28"/>
    <w:bookmarkStart w:id="32" w:name="fig:002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2: “Фазовый потрет для колебания гармонического осциллятора без затуханий и без действий внешней силы на языке Julia”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</w:t>
      </w:r>
      <w:r>
        <w:t xml:space="preserve"> </w:t>
      </w:r>
      <w:r>
        <w:t xml:space="preserve">“Фазовый потрет для колебания гармонического осциллятора без затуханий и без действий внешней силы на языке Julia”</w:t>
      </w:r>
    </w:p>
    <w:bookmarkEnd w:id="32"/>
    <w:p>
      <w:pPr>
        <w:pStyle w:val="BodyText"/>
      </w:pPr>
      <w:r>
        <w:t xml:space="preserve">Второй случай:</w:t>
      </w:r>
    </w:p>
    <w:p>
      <w:pPr>
        <w:pStyle w:val="BodyText"/>
      </w:pPr>
      <w:r>
        <w:t xml:space="preserve">Колебания гармонического осциллятора c затуханием и без действий внешней силы</w:t>
      </w:r>
    </w:p>
    <w:bookmarkStart w:id="36" w:name="fig:003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3: “Решение уравнения для колебания гармонического осциллятора c затуханием и без действий внешней силы на языке Julia”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</w:t>
      </w:r>
      <w:r>
        <w:t xml:space="preserve"> </w:t>
      </w:r>
      <w:r>
        <w:t xml:space="preserve">“Решение уравнения для колебания гармонического осциллятора c затуханием и без действий внешней силы на языке Julia”</w:t>
      </w:r>
    </w:p>
    <w:bookmarkEnd w:id="36"/>
    <w:bookmarkStart w:id="40" w:name="fig:004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4: “Фазовый потрет для колебания гармонического осциллятора c затуханием и без действий внешней силы на языке Julia”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</w:t>
      </w:r>
      <w:r>
        <w:t xml:space="preserve"> </w:t>
      </w:r>
      <w:r>
        <w:t xml:space="preserve">“Фазовый потрет для колебания гармонического осциллятора c затуханием и без действий внешней силы на языке Julia”</w:t>
      </w:r>
    </w:p>
    <w:bookmarkEnd w:id="40"/>
    <w:p>
      <w:pPr>
        <w:pStyle w:val="BodyText"/>
      </w:pPr>
      <w:r>
        <w:t xml:space="preserve">Третий случай:</w:t>
      </w:r>
    </w:p>
    <w:p>
      <w:pPr>
        <w:pStyle w:val="BodyText"/>
      </w:pPr>
      <w:r>
        <w:t xml:space="preserve">Колебания гармонического осциллятора c затуханием и под действием внешней силы</w:t>
      </w:r>
    </w:p>
    <w:bookmarkStart w:id="44" w:name="fig:005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5: “Решение уравнения для колебания гармонического осциллятора cc затуханием и под действием внешней силы на языке Julia”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</w:t>
      </w:r>
      <w:r>
        <w:t xml:space="preserve"> </w:t>
      </w:r>
      <w:r>
        <w:t xml:space="preserve">“Решение уравнения для колебания гармонического осциллятора cc затуханием и под действием внешней силы на языке Julia”</w:t>
      </w:r>
    </w:p>
    <w:bookmarkEnd w:id="44"/>
    <w:bookmarkStart w:id="48" w:name="fig:006"/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6: “Фазовый потрет для колебания гармонического осциллятора c затуханием и под действием внешней силы на языке Julia”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</w:t>
      </w:r>
      <w:r>
        <w:t xml:space="preserve"> </w:t>
      </w:r>
      <w:r>
        <w:t xml:space="preserve">“Фазовый потрет для колебания гармонического осциллятора c затуханием и под действием внешней силы на языке Julia”</w:t>
      </w:r>
    </w:p>
    <w:bookmarkEnd w:id="48"/>
    <w:bookmarkEnd w:id="49"/>
    <w:bookmarkEnd w:id="50"/>
    <w:bookmarkEnd w:id="51"/>
    <w:bookmarkStart w:id="52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построены решения уравнения гармонического осциллятора и фазовые портреты гармонических колебаний без затухания, с затуханием и при действии внешней силы на языках Julia и Open Modelica.</w:t>
      </w:r>
    </w:p>
    <w:bookmarkEnd w:id="52"/>
    <w:bookmarkStart w:id="53" w:name="список-литературы.-библиография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Документация по Julia: https://docs.julialang.org/en/v1/</w:t>
      </w:r>
    </w:p>
    <w:p>
      <w:pPr>
        <w:pStyle w:val="BodyText"/>
      </w:pPr>
      <w:r>
        <w:t xml:space="preserve">[2] Документация по OpenModelica: https://openmodelica.org/</w:t>
      </w:r>
    </w:p>
    <w:p>
      <w:pPr>
        <w:pStyle w:val="BodyText"/>
      </w:pPr>
      <w:r>
        <w:t xml:space="preserve">[3] Решение дифференциальных уравнений: https://www.wolframalpha.com/</w:t>
      </w:r>
    </w:p>
    <w:p>
      <w:pPr>
        <w:pStyle w:val="BodyText"/>
      </w:pPr>
      <w:r>
        <w:t xml:space="preserve">[4] Бутиков И. Е. Собственные колебания линейного осциллятора. 2011.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Нефедова Наталия Николаевна</dc:creator>
  <dc:language>ru-RU</dc:language>
  <cp:keywords/>
  <dcterms:created xsi:type="dcterms:W3CDTF">2025-03-23T11:58:02Z</dcterms:created>
  <dcterms:modified xsi:type="dcterms:W3CDTF">2025-03-23T11:58:02Z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Модель гармонических колебаний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