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Sasipohn Prasertpalichat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4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Ferroelectric, Piezoelectric, and Triboelectric Materials and Devices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1A0DC2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10590" w14:textId="77777777" w:rsidR="009F66E2" w:rsidRDefault="009F66E2" w:rsidP="00873FDA">
      <w:r>
        <w:separator/>
      </w:r>
    </w:p>
  </w:endnote>
  <w:endnote w:type="continuationSeparator" w:id="0">
    <w:p w14:paraId="778614B6" w14:textId="77777777" w:rsidR="009F66E2" w:rsidRDefault="009F66E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6FF6" w14:textId="77777777" w:rsidR="009F66E2" w:rsidRDefault="009F66E2" w:rsidP="00873FDA">
      <w:r>
        <w:separator/>
      </w:r>
    </w:p>
  </w:footnote>
  <w:footnote w:type="continuationSeparator" w:id="0">
    <w:p w14:paraId="5C73C439" w14:textId="77777777" w:rsidR="009F66E2" w:rsidRDefault="009F66E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1776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7</cp:revision>
  <dcterms:created xsi:type="dcterms:W3CDTF">2026-02-25T07:45:00Z</dcterms:created>
  <dcterms:modified xsi:type="dcterms:W3CDTF">2026-02-28T01:50:00Z</dcterms:modified>
  <dc:description/>
  <dc:identifier/>
  <dc:language/>
  <dc:subject/>
</cp:coreProperties>
</file>