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pPr>
      <w:r>
        <w:t>SecPipeAI: An AI-Augmented Anomaly Detection and Threat</w:t>
        <w:br/>
        <w:t>Mitigation Framework for Cloud-Native DevSecOps Pipelines</w:t>
      </w:r>
    </w:p>
    <w:p>
      <w:pPr>
        <w:pStyle w:val="AuthorInfo"/>
      </w:pPr>
      <w:r>
        <w:t>Nihal Singh</w:t>
      </w:r>
    </w:p>
    <w:p>
      <w:pPr>
        <w:pStyle w:val="AuthorInfo"/>
      </w:pPr>
      <w:r>
        <w:t>School of Computing and Augmented Intelligence, Arizona State University</w:t>
      </w:r>
    </w:p>
    <w:p>
      <w:pPr>
        <w:pStyle w:val="AuthorInfo"/>
      </w:pPr>
      <w:r>
        <w:t>Tempe, AZ 85281, USA</w:t>
      </w:r>
    </w:p>
    <w:p>
      <w:pPr>
        <w:pStyle w:val="AuthorInfo"/>
      </w:pPr>
      <w:r>
        <w:t>nnolas27@asu.edu</w:t>
      </w:r>
    </w:p>
    <w:p>
      <w:pPr>
        <w:jc w:val="center"/>
      </w:pPr>
      <w:r>
        <w:rPr>
          <w:i/>
          <w:sz w:val="20"/>
        </w:rPr>
        <w:t>Manuscript prepared for: Journal of Cloud Computing (Springer Nature)</w:t>
      </w:r>
    </w:p>
    <w:p/>
    <w:p>
      <w:pPr>
        <w:pStyle w:val="Heading1"/>
      </w:pPr>
      <w:r>
        <w:t>Abstract</w:t>
      </w:r>
    </w:p>
    <w:p>
      <w:pPr>
        <w:pStyle w:val="AbstractStyle"/>
      </w:pPr>
      <w:r>
        <w:t>Cloud-native CI/CD pipelines have become critical infrastructure for software delivery, yet they introduce attack surfaces—including poisoned pipeline execution (MITRE ATT&amp;CK T1677), dependency confusion, and Infrastructure-as-Code misconfigurations—that existing network-level intrusion detection systems do not address. This paper presents SecPipeAI, a three-component framework comprising: (1) a sidecar-based pipeline telemetry collector instrumented via Kubernetes admission webhooks, (2) an ensemble anomaly detection engine combining XGBoost with an LSTM-Autoencoder for multi-modal event classification, and (3) a policy-driven response orchestrator mapping detections to MITRE ATT&amp;CK for Containers technique identifiers with graduated remediation. We formalize the threat model using STRIDE adapted for CI/CD pipelines and map security properties to SLSA supply chain integrity levels L1–L3. The contribution of this paper is primarily architectural and methodological: we define the first formally specified detection framework operating on pipeline-layer telemetry rather than network traffic, and we design a rigorous evaluation protocol using three public benchmark datasets (CICIDS2017, UNSW-NB15, BETH) as validated proxies for specific telemetry modalities, with eight baseline methods spanning majority-class through deep learning, stratified 10-fold cross-validation with 10 seeds, McNemar and Friedman–Nemenyi significance testing, and Cliff’s delta effect sizes with 95% bootstrap confidence intervals. At the time of submission, the evaluation protocol is fully specified and reproducibility artifacts are prepared; experimental execution is in progress and results will be reported in the camera-ready version. All code, configurations, and preprocessing scripts will be released under an open-source license.</w:t>
      </w:r>
    </w:p>
    <w:p>
      <w:r>
        <w:rPr>
          <w:b/>
          <w:sz w:val="20"/>
        </w:rPr>
        <w:t xml:space="preserve">Keywords: </w:t>
      </w:r>
      <w:r>
        <w:rPr>
          <w:sz w:val="20"/>
        </w:rPr>
        <w:t>Cloud-native security; DevSecOps; CI/CD pipeline security; anomaly detection; MITRE ATT&amp;CK; Kubernetes security; Infrastructure-as-Code; supply chain integrity; SLSA; ensemble learning; CICIDS2017; UNSW-NB15; BETH</w:t>
      </w:r>
    </w:p>
    <w:p>
      <w:r>
        <w:br w:type="page"/>
      </w:r>
    </w:p>
    <w:p>
      <w:pPr>
        <w:pStyle w:val="Heading1"/>
      </w:pPr>
      <w:r>
        <w:t>Summary of Contributions</w:t>
      </w:r>
    </w:p>
    <w:p>
      <w:r>
        <w:t>This paper makes the following contributions, categorized by type to help reviewers assess novelty:</w:t>
      </w:r>
    </w:p>
    <w:p>
      <w:r>
        <w:rPr>
          <w:b/>
        </w:rPr>
        <w:t xml:space="preserve">C1 (Architectural). </w:t>
      </w:r>
      <w:r>
        <w:t>We define SecPipeAI, the first formally specified multi-stage framework for anomaly detection operating on CI/CD pipeline telemetry rather than network traffic. The architecture comprises three components—Collector, Detector, Responder—each with formal input/output specifications (Definitions 1–4). The architectural novelty lies in where detection occurs (pipeline execution layer) and how heterogeneous telemetry modalities are unified, not in the individual ML models.</w:t>
      </w:r>
    </w:p>
    <w:p>
      <w:r>
        <w:rPr>
          <w:b/>
        </w:rPr>
        <w:t xml:space="preserve">C2 (Methodological). </w:t>
      </w:r>
      <w:r>
        <w:t>We formalize the CI/CD pipeline threat model using STRIDE, map 12 attack vectors to MITRE ATT&amp;CK technique identifiers, and define security properties aligned with SLSA integrity levels. This is the first systematic threat model for CI/CD pipelines in the Journal of Cloud Computing literature.</w:t>
      </w:r>
    </w:p>
    <w:p>
      <w:r>
        <w:rPr>
          <w:b/>
        </w:rPr>
        <w:t xml:space="preserve">C3 (Experimental Design). </w:t>
      </w:r>
      <w:r>
        <w:t>We design a rigorous evaluation protocol with three public datasets, eight baselines (including floor baselines to establish the trivial-solution floor), stratified cross-validation, four statistical tests with effect sizes, and a complete reproducibility package. The protocol is independently executable by reviewers.</w:t>
      </w:r>
    </w:p>
    <w:p>
      <w:r>
        <w:rPr>
          <w:b/>
        </w:rPr>
        <w:t xml:space="preserve">C4 (Reproducibility). </w:t>
      </w:r>
      <w:r>
        <w:t>We provide a Docker-based reproducibility package with pinned software versions, deterministic seed control, dataset download scripts with SHA-256 checksums, and a hardware-agnostic runtime estimation. This targets the Artifacts Available and Artifacts Functional badges as defined by USENIX Security 2026 artifact evaluation criteria.</w:t>
      </w:r>
    </w:p>
    <w:p>
      <w:r>
        <w:rPr>
          <w:b/>
        </w:rPr>
        <w:t xml:space="preserve">C5 (Gap Analysis). </w:t>
      </w:r>
      <w:r>
        <w:t>We systematically position pipeline-layer security within the cloud IDS literature, demonstrating that no prior Journal of Cloud Computing publication addresses CI/CD-specific threat vectors, thereby establishing the novelty of the application domain.</w:t>
      </w:r>
    </w:p>
    <w:p>
      <w:r>
        <w:rPr>
          <w:b/>
          <w:i/>
        </w:rPr>
        <w:t xml:space="preserve">Scope limitation: </w:t>
      </w:r>
      <w:r>
        <w:t>The ML components (XGBoost, LSTM-Autoencoder) are individually well-established. We do not claim algorithmic novelty in these models. The contribution lies in their architectural integration, the formal threat model they serve, and the domain-specific evaluation protocol that contextualizes their application to CI/CD pipeline security.</w:t>
      </w:r>
    </w:p>
    <w:p>
      <w:r>
        <w:br w:type="page"/>
      </w:r>
    </w:p>
    <w:p>
      <w:pPr>
        <w:pStyle w:val="Heading1"/>
      </w:pPr>
      <w:r>
        <w:t>1. Introduction</w:t>
      </w:r>
    </w:p>
    <w:p>
      <w:r>
        <w:t>Cloud-native application architectures have become the dominant paradigm for enterprise software delivery. Organizations increasingly rely on containerized microservices orchestrated by Kubernetes, deployed through automated Continuous Integration and Continuous Deployment (CI/CD) pipelines that execute hundreds of builds per day. This operational model delivers significant advantages in deployment velocity and scalability, but it simultaneously introduces a complex attack surface that conventional security mechanisms were not designed to address.</w:t>
      </w:r>
    </w:p>
    <w:p>
      <w:r>
        <w:t>The security challenges in cloud-native environments operate at multiple layers. At the infrastructure level, container orchestration platforms expose APIs, service meshes, and network policies that require careful configuration. At the application level, microservice decomposition multiplies the number of endpoints and dependency chains. At the pipeline level—the focus of this work—the CI/CD process itself becomes an attack vector through mechanisms such as poisoned pipeline execution (PPE), dependency confusion, compromised build environments, and Infrastructure-as-Code (IaC) misconfigurations that propagate to production. MITRE ATT&amp;CK now formally recognizes Poisoned Pipeline Execution as technique T1677, underscoring the maturity of this threat category.</w:t>
      </w:r>
    </w:p>
    <w:p>
      <w:r>
        <w:t>Existing research on AI-driven security in cloud environments has focused predominantly on network intrusion detection. Transformer-based IDS architectures (Long et al., 2024), hybrid XGBoost-CNN-LSTM models (Sajid et al., 2024), and Dynamic Graph Transformer frameworks (He et al., 2024)—all published in the Journal of Cloud Computing—have advanced anomaly detection for cloud network traffic. However, these approaches monitor network-layer telemetry and do not instrument the CI/CD pipeline itself, where build logs, artifact provenance, configuration changes, and deployment manifests constitute the relevant data sources.</w:t>
      </w:r>
    </w:p>
    <w:p>
      <w:r>
        <w:t>Static DevSecOps tools—Checkov for IaC policy enforcement, Trivy for container image scanning, Snyk for dependency analysis—provide valuable point-in-time checks but operate reactively on known vulnerability signatures. They lack behavioral anomaly detection, temporal event correlation, and adaptation to novel attack patterns. Recent work on LLM-assisted vulnerability detection (Li et al., ICLR 2025) and LLM-based Kubernetes misconfiguration detection (GenKubeSec; Malul et al., 2024) demonstrates the potential of AI-augmented analysis, but these remain single-purpose tools rather than integrated pipeline security frameworks.</w:t>
      </w:r>
    </w:p>
    <w:p>
      <w:r>
        <w:t>This paper addresses the gap between cloud IDS research and DevSecOps tooling by proposing SecPipeAI, a multi-stage AI-augmented framework that brings anomaly detection, predictive analytics, and automated response to the CI/CD pipeline layer. Unlike network-level IDS, SecPipeAI instruments pipeline execution through sidecar containers that collect heterogeneous telemetry. Unlike static scanning tools, the framework employs an ensemble detection engine combining the interpretability of gradient-boosted trees with the temporal modeling capacity of LSTM autoencoders.</w:t>
      </w:r>
    </w:p>
    <w:p>
      <w:pPr>
        <w:pStyle w:val="Heading2"/>
      </w:pPr>
      <w:r>
        <w:t>1.1 Research Questions</w:t>
      </w:r>
    </w:p>
    <w:p>
      <w:r>
        <w:rPr>
          <w:b/>
        </w:rPr>
        <w:t xml:space="preserve">RQ1: </w:t>
      </w:r>
      <w:r>
        <w:t>Can an ensemble of XGBoost and LSTM-Autoencoder, designed for pipeline telemetry, achieve statistically significantly higher macro-F1 than individual baselines (including logistic regression and standalone XGBoost) on public anomaly detection benchmarks that proxy CI/CD telemetry modalities?</w:t>
      </w:r>
    </w:p>
    <w:p>
      <w:r>
        <w:rPr>
          <w:b/>
        </w:rPr>
        <w:t xml:space="preserve">RQ2: </w:t>
      </w:r>
      <w:r>
        <w:t>What is the marginal contribution of each SecPipeAI component (XGBoost branch, LSTM-AE branch, provenance features, response orchestrator) as measured by ablation analysis?</w:t>
      </w:r>
    </w:p>
    <w:p>
      <w:r>
        <w:rPr>
          <w:b/>
        </w:rPr>
        <w:t xml:space="preserve">RQ3: </w:t>
      </w:r>
      <w:r>
        <w:t>Does detection latency remain below operationally relevant thresholds (≤ 100 ms per event) under realistic pipeline concurrency loads (up to 100 simultaneous builds)?</w:t>
      </w:r>
    </w:p>
    <w:p>
      <w:r>
        <w:t>The remainder of this paper is organized as follows. Section 2 reviews related work. Section 3 defines the system architecture. Section 4 formalizes the threat model. Section 5 presents the methodology. Section 6 describes the experimental design with dataset proxy justification. Section 7 reports planned evaluation results. Section 8 discusses implications and limitations. Section 9 addresses reproducibility. Section 10 concludes the paper.</w:t>
      </w:r>
    </w:p>
    <w:p>
      <w:r>
        <w:br w:type="page"/>
      </w:r>
    </w:p>
    <w:p>
      <w:pPr>
        <w:pStyle w:val="Heading1"/>
      </w:pPr>
      <w:r>
        <w:t>2. Background and Related Work</w:t>
      </w:r>
    </w:p>
    <w:p>
      <w:pPr>
        <w:pStyle w:val="Heading2"/>
      </w:pPr>
      <w:r>
        <w:t>2.1 AI-Driven Intrusion Detection in Cloud Environments</w:t>
      </w:r>
    </w:p>
    <w:p>
      <w:r>
        <w:t>AI-driven intrusion detection for cloud environments has received sustained research attention in the Journal of Cloud Computing. Sajid et al. (2024) proposed a hybrid XGBoost-CNN-LSTM model evaluated across CICIDS2017, UNSW-NB15, NSL-KDD, and WSN-DS, demonstrating that ensemble approaches consistently outperform single-model baselines with F1-scores exceeding 0.97 on binary classification (DOI: 10.1186/s13677-024-00685-x). Long et al. (2024) applied Transformer self-attention to cloud intrusion patterns, leveraging multi-head attention for long-range dependencies in network flow sequences (DOI: 10.1186/s13677-023-00574-9). He et al. (2024) introduced a Dynamic Graph Transformer combining GNN topology awareness with Transformer attention for cloud KPI anomaly localization (DOI: 10.1186/s13677-024-00677-x).</w:t>
      </w:r>
    </w:p>
    <w:p>
      <w:r>
        <w:t>Al-Ghuwairi et al. (2023) applied Facebook Prophet and Granger causality for cloud IDS, demonstrating feature reduction from 70 to 10 predictors while preserving accuracy (DOI: 10.1186/s13677-023-00491-x). These works establish a methodological template: multi-dataset evaluation, baseline comparison against both traditional ML and deep learning, and computational cost alongside detection accuracy. However, all instrument network traffic or system-level KPIs. None addresses CI/CD pipeline telemetry—build logs, artifact provenance, IaC configuration changes—which constitutes a distinct data modality with different statistical properties.</w:t>
      </w:r>
    </w:p>
    <w:p>
      <w:pPr>
        <w:pStyle w:val="Heading2"/>
      </w:pPr>
      <w:r>
        <w:t>2.2 DevSecOps and CI/CD Pipeline Security</w:t>
      </w:r>
    </w:p>
    <w:p>
      <w:r>
        <w:t>The DevSecOps paradigm integrates security into every stage of the software development lifecycle. The pipeline itself has emerged as an attack target. Muñoz et al. (2024) analyzed 320,000 GitHub repositories using CIAnalyser and found 146 with vulnerable CI/CD scripts susceptible to code injection (arXiv:2401.17606). MITRE ATT&amp;CK catalogs Poisoned Pipeline Execution (T1677) with three sub-techniques: direct PPE, indirect PPE, and public PPE. The SLSA framework defines four progressive integrity levels from L0 (no provenance) to L3 (hardened builds with isolated signing).</w:t>
      </w:r>
    </w:p>
    <w:p>
      <w:r>
        <w:t>Static tools represent the current industry standard: Checkov enforces graph-based policy checks; Trivy combines container image scanning with IaC analysis; Snyk identifies known dependency vulnerabilities. These are effective for known patterns but lack behavioral anomaly detection, temporal correlation, or adaptation to novel attack vectors. The Black Duck 2024 survey reports that 78% of organizations using AI security tools experience &gt;20% noise in findings.</w:t>
      </w:r>
    </w:p>
    <w:p>
      <w:pPr>
        <w:pStyle w:val="Heading2"/>
      </w:pPr>
      <w:r>
        <w:t>2.3 AI-Augmented Security Analysis</w:t>
      </w:r>
    </w:p>
    <w:p>
      <w:r>
        <w:t>Li et al. (ICLR 2025) introduced IRIS, a neuro-symbolic system combining LLM reasoning with CodeQL static analysis, detecting 103.7% more vulnerabilities than CodeQL alone on CWE-Bench-Java. Malul et al. (2024) developed GenKubeSec, a fine-tuned Mistral LLM for Kubernetes misconfiguration detection achieving precision 0.990 and recall 0.999. These demonstrate AI augmentation potential but remain single-purpose tools.</w:t>
      </w:r>
    </w:p>
    <w:p>
      <w:pPr>
        <w:pStyle w:val="Heading2"/>
      </w:pPr>
      <w:r>
        <w:t>2.4 Critical Evaluation Standards for ML in Security</w:t>
      </w:r>
    </w:p>
    <w:p>
      <w:r>
        <w:t>Arp et al. (USENIX Security 2022) identified ten pitfalls in ML security research, including sampling bias, data snooping, inappropriate baselines, and the base rate fallacy. Engelen et al. (IEEE SPW 2021) and Lanvin et al. (CRiSIS 2023) documented CICFlowMeter tool bugs that corrupt flow features. Bouke and Abdullah (Expert Systems with Applications, 2023) demonstrated that applying SMOTE before train/test splitting produces inflated, unreliable accuracy. Our experimental design explicitly addresses each of these pitfalls (see Section 6).</w:t>
      </w:r>
    </w:p>
    <w:p>
      <w:pPr>
        <w:pStyle w:val="Heading2"/>
      </w:pPr>
      <w:r>
        <w:t>2.5 Research Gap and Positioning</w:t>
      </w:r>
    </w:p>
    <w:p>
      <w:r>
        <w:t>Table 1 positions SecPipeAI relative to existing work. The central gap is the absence of an integrated, AI-augmented framework operating on pipeline-specific telemetry with formal threat modeling, ensemble detection, and automated response.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728"/>
            <w:shd w:fill="D9E2F3"/>
          </w:tcPr>
          <w:p>
            <w:pPr>
              <w:jc w:val="center"/>
            </w:pPr>
            <w:r/>
            <w:r>
              <w:rPr>
                <w:rFonts w:ascii="Times New Roman" w:hAnsi="Times New Roman"/>
                <w:b/>
                <w:sz w:val="18"/>
              </w:rPr>
              <w:t>Approach</w:t>
            </w:r>
          </w:p>
        </w:tc>
        <w:tc>
          <w:tcPr>
            <w:tcW w:type="dxa" w:w="1008"/>
            <w:shd w:fill="D9E2F3"/>
          </w:tcPr>
          <w:p>
            <w:pPr>
              <w:jc w:val="center"/>
            </w:pPr>
            <w:r/>
            <w:r>
              <w:rPr>
                <w:rFonts w:ascii="Times New Roman" w:hAnsi="Times New Roman"/>
                <w:b/>
                <w:sz w:val="18"/>
              </w:rPr>
              <w:t>Scope</w:t>
            </w:r>
          </w:p>
        </w:tc>
        <w:tc>
          <w:tcPr>
            <w:tcW w:type="dxa" w:w="1440"/>
            <w:shd w:fill="D9E2F3"/>
          </w:tcPr>
          <w:p>
            <w:pPr>
              <w:jc w:val="center"/>
            </w:pPr>
            <w:r/>
            <w:r>
              <w:rPr>
                <w:rFonts w:ascii="Times New Roman" w:hAnsi="Times New Roman"/>
                <w:b/>
                <w:sz w:val="18"/>
              </w:rPr>
              <w:t>Method</w:t>
            </w:r>
          </w:p>
        </w:tc>
        <w:tc>
          <w:tcPr>
            <w:tcW w:type="dxa" w:w="1152"/>
            <w:shd w:fill="D9E2F3"/>
          </w:tcPr>
          <w:p>
            <w:pPr>
              <w:jc w:val="center"/>
            </w:pPr>
            <w:r/>
            <w:r>
              <w:rPr>
                <w:rFonts w:ascii="Times New Roman" w:hAnsi="Times New Roman"/>
                <w:b/>
                <w:sz w:val="18"/>
              </w:rPr>
              <w:t>Integration</w:t>
            </w:r>
          </w:p>
        </w:tc>
        <w:tc>
          <w:tcPr>
            <w:tcW w:type="dxa" w:w="864"/>
            <w:shd w:fill="D9E2F3"/>
          </w:tcPr>
          <w:p>
            <w:pPr>
              <w:jc w:val="center"/>
            </w:pPr>
            <w:r/>
            <w:r>
              <w:rPr>
                <w:rFonts w:ascii="Times New Roman" w:hAnsi="Times New Roman"/>
                <w:b/>
                <w:sz w:val="18"/>
              </w:rPr>
              <w:t>Pipeline-Specific</w:t>
            </w:r>
          </w:p>
        </w:tc>
        <w:tc>
          <w:tcPr>
            <w:tcW w:type="dxa" w:w="864"/>
            <w:shd w:fill="D9E2F3"/>
          </w:tcPr>
          <w:p>
            <w:pPr>
              <w:jc w:val="center"/>
            </w:pPr>
            <w:r/>
            <w:r>
              <w:rPr>
                <w:rFonts w:ascii="Times New Roman" w:hAnsi="Times New Roman"/>
                <w:b/>
                <w:sz w:val="18"/>
              </w:rPr>
              <w:t>Formal Threat Model</w:t>
            </w:r>
          </w:p>
        </w:tc>
      </w:tr>
      <w:tr>
        <w:tc>
          <w:tcPr>
            <w:tcW w:type="dxa" w:w="1728"/>
          </w:tcPr>
          <w:p>
            <w:r/>
            <w:r>
              <w:rPr>
                <w:rFonts w:ascii="Times New Roman" w:hAnsi="Times New Roman"/>
                <w:sz w:val="18"/>
              </w:rPr>
              <w:t>Sajid et al. (2024)</w:t>
            </w:r>
          </w:p>
        </w:tc>
        <w:tc>
          <w:tcPr>
            <w:tcW w:type="dxa" w:w="1008"/>
          </w:tcPr>
          <w:p>
            <w:r/>
            <w:r>
              <w:rPr>
                <w:rFonts w:ascii="Times New Roman" w:hAnsi="Times New Roman"/>
                <w:sz w:val="18"/>
              </w:rPr>
              <w:t>Network</w:t>
            </w:r>
          </w:p>
        </w:tc>
        <w:tc>
          <w:tcPr>
            <w:tcW w:type="dxa" w:w="1440"/>
          </w:tcPr>
          <w:p>
            <w:r/>
            <w:r>
              <w:rPr>
                <w:rFonts w:ascii="Times New Roman" w:hAnsi="Times New Roman"/>
                <w:sz w:val="18"/>
              </w:rPr>
              <w:t>XGBoost+CNN+LSTM</w:t>
            </w:r>
          </w:p>
        </w:tc>
        <w:tc>
          <w:tcPr>
            <w:tcW w:type="dxa" w:w="1152"/>
          </w:tcPr>
          <w:p>
            <w:r/>
            <w:r>
              <w:rPr>
                <w:rFonts w:ascii="Times New Roman" w:hAnsi="Times New Roman"/>
                <w:sz w:val="18"/>
              </w:rPr>
              <w:t>Standalone IDS</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Long et al. (2024)</w:t>
            </w:r>
          </w:p>
        </w:tc>
        <w:tc>
          <w:tcPr>
            <w:tcW w:type="dxa" w:w="1008"/>
          </w:tcPr>
          <w:p>
            <w:r/>
            <w:r>
              <w:rPr>
                <w:rFonts w:ascii="Times New Roman" w:hAnsi="Times New Roman"/>
                <w:sz w:val="18"/>
              </w:rPr>
              <w:t>Network</w:t>
            </w:r>
          </w:p>
        </w:tc>
        <w:tc>
          <w:tcPr>
            <w:tcW w:type="dxa" w:w="1440"/>
          </w:tcPr>
          <w:p>
            <w:r/>
            <w:r>
              <w:rPr>
                <w:rFonts w:ascii="Times New Roman" w:hAnsi="Times New Roman"/>
                <w:sz w:val="18"/>
              </w:rPr>
              <w:t>Transformer</w:t>
            </w:r>
          </w:p>
        </w:tc>
        <w:tc>
          <w:tcPr>
            <w:tcW w:type="dxa" w:w="1152"/>
          </w:tcPr>
          <w:p>
            <w:r/>
            <w:r>
              <w:rPr>
                <w:rFonts w:ascii="Times New Roman" w:hAnsi="Times New Roman"/>
                <w:sz w:val="18"/>
              </w:rPr>
              <w:t>Standalone IDS</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He et al. (2024)</w:t>
            </w:r>
          </w:p>
        </w:tc>
        <w:tc>
          <w:tcPr>
            <w:tcW w:type="dxa" w:w="1008"/>
          </w:tcPr>
          <w:p>
            <w:r/>
            <w:r>
              <w:rPr>
                <w:rFonts w:ascii="Times New Roman" w:hAnsi="Times New Roman"/>
                <w:sz w:val="18"/>
              </w:rPr>
              <w:t>Cloud KPIs</w:t>
            </w:r>
          </w:p>
        </w:tc>
        <w:tc>
          <w:tcPr>
            <w:tcW w:type="dxa" w:w="1440"/>
          </w:tcPr>
          <w:p>
            <w:r/>
            <w:r>
              <w:rPr>
                <w:rFonts w:ascii="Times New Roman" w:hAnsi="Times New Roman"/>
                <w:sz w:val="18"/>
              </w:rPr>
              <w:t>Graph Transformer</w:t>
            </w:r>
          </w:p>
        </w:tc>
        <w:tc>
          <w:tcPr>
            <w:tcW w:type="dxa" w:w="1152"/>
          </w:tcPr>
          <w:p>
            <w:r/>
            <w:r>
              <w:rPr>
                <w:rFonts w:ascii="Times New Roman" w:hAnsi="Times New Roman"/>
                <w:sz w:val="18"/>
              </w:rPr>
              <w:t>Anomaly loc.</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Checkov / Trivy</w:t>
            </w:r>
          </w:p>
        </w:tc>
        <w:tc>
          <w:tcPr>
            <w:tcW w:type="dxa" w:w="1008"/>
          </w:tcPr>
          <w:p>
            <w:r/>
            <w:r>
              <w:rPr>
                <w:rFonts w:ascii="Times New Roman" w:hAnsi="Times New Roman"/>
                <w:sz w:val="18"/>
              </w:rPr>
              <w:t>IaC configs</w:t>
            </w:r>
          </w:p>
        </w:tc>
        <w:tc>
          <w:tcPr>
            <w:tcW w:type="dxa" w:w="1440"/>
          </w:tcPr>
          <w:p>
            <w:r/>
            <w:r>
              <w:rPr>
                <w:rFonts w:ascii="Times New Roman" w:hAnsi="Times New Roman"/>
                <w:sz w:val="18"/>
              </w:rPr>
              <w:t>Rule-based</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IRIS (Li et al., 2025)</w:t>
            </w:r>
          </w:p>
        </w:tc>
        <w:tc>
          <w:tcPr>
            <w:tcW w:type="dxa" w:w="1008"/>
          </w:tcPr>
          <w:p>
            <w:r/>
            <w:r>
              <w:rPr>
                <w:rFonts w:ascii="Times New Roman" w:hAnsi="Times New Roman"/>
                <w:sz w:val="18"/>
              </w:rPr>
              <w:t>Source code</w:t>
            </w:r>
          </w:p>
        </w:tc>
        <w:tc>
          <w:tcPr>
            <w:tcW w:type="dxa" w:w="1440"/>
          </w:tcPr>
          <w:p>
            <w:r/>
            <w:r>
              <w:rPr>
                <w:rFonts w:ascii="Times New Roman" w:hAnsi="Times New Roman"/>
                <w:sz w:val="18"/>
              </w:rPr>
              <w:t>LLM + static</w:t>
            </w:r>
          </w:p>
        </w:tc>
        <w:tc>
          <w:tcPr>
            <w:tcW w:type="dxa" w:w="1152"/>
          </w:tcPr>
          <w:p>
            <w:r/>
            <w:r>
              <w:rPr>
                <w:rFonts w:ascii="Times New Roman" w:hAnsi="Times New Roman"/>
                <w:sz w:val="18"/>
              </w:rPr>
              <w:t>Point tool</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GenKubeSec (2024)</w:t>
            </w:r>
          </w:p>
        </w:tc>
        <w:tc>
          <w:tcPr>
            <w:tcW w:type="dxa" w:w="1008"/>
          </w:tcPr>
          <w:p>
            <w:r/>
            <w:r>
              <w:rPr>
                <w:rFonts w:ascii="Times New Roman" w:hAnsi="Times New Roman"/>
                <w:sz w:val="18"/>
              </w:rPr>
              <w:t>K8s manifests</w:t>
            </w:r>
          </w:p>
        </w:tc>
        <w:tc>
          <w:tcPr>
            <w:tcW w:type="dxa" w:w="1440"/>
          </w:tcPr>
          <w:p>
            <w:r/>
            <w:r>
              <w:rPr>
                <w:rFonts w:ascii="Times New Roman" w:hAnsi="Times New Roman"/>
                <w:sz w:val="18"/>
              </w:rPr>
              <w:t>Fine-tuned LLM</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Falco (CNCF)</w:t>
            </w:r>
          </w:p>
        </w:tc>
        <w:tc>
          <w:tcPr>
            <w:tcW w:type="dxa" w:w="1008"/>
          </w:tcPr>
          <w:p>
            <w:r/>
            <w:r>
              <w:rPr>
                <w:rFonts w:ascii="Times New Roman" w:hAnsi="Times New Roman"/>
                <w:sz w:val="18"/>
              </w:rPr>
              <w:t>Runtime</w:t>
            </w:r>
          </w:p>
        </w:tc>
        <w:tc>
          <w:tcPr>
            <w:tcW w:type="dxa" w:w="1440"/>
          </w:tcPr>
          <w:p>
            <w:r/>
            <w:r>
              <w:rPr>
                <w:rFonts w:ascii="Times New Roman" w:hAnsi="Times New Roman"/>
                <w:sz w:val="18"/>
              </w:rPr>
              <w:t>eBPF rules</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SecPipeAI (this work)</w:t>
            </w:r>
          </w:p>
        </w:tc>
        <w:tc>
          <w:tcPr>
            <w:tcW w:type="dxa" w:w="1008"/>
          </w:tcPr>
          <w:p>
            <w:r/>
            <w:r>
              <w:rPr>
                <w:rFonts w:ascii="Times New Roman" w:hAnsi="Times New Roman"/>
                <w:sz w:val="18"/>
              </w:rPr>
              <w:t>Pipeline telemetry</w:t>
            </w:r>
          </w:p>
        </w:tc>
        <w:tc>
          <w:tcPr>
            <w:tcW w:type="dxa" w:w="1440"/>
          </w:tcPr>
          <w:p>
            <w:r/>
            <w:r>
              <w:rPr>
                <w:rFonts w:ascii="Times New Roman" w:hAnsi="Times New Roman"/>
                <w:sz w:val="18"/>
              </w:rPr>
              <w:t>XGBoost+LSTM-AE</w:t>
            </w:r>
          </w:p>
        </w:tc>
        <w:tc>
          <w:tcPr>
            <w:tcW w:type="dxa" w:w="1152"/>
          </w:tcPr>
          <w:p>
            <w:r/>
            <w:r>
              <w:rPr>
                <w:rFonts w:ascii="Times New Roman" w:hAnsi="Times New Roman"/>
                <w:sz w:val="18"/>
              </w:rPr>
              <w:t>Multi-stage</w:t>
            </w:r>
          </w:p>
        </w:tc>
        <w:tc>
          <w:tcPr>
            <w:tcW w:type="dxa" w:w="864"/>
          </w:tcPr>
          <w:p>
            <w:r/>
            <w:r>
              <w:rPr>
                <w:rFonts w:ascii="Times New Roman" w:hAnsi="Times New Roman"/>
                <w:sz w:val="18"/>
              </w:rPr>
              <w:t>Yes</w:t>
            </w:r>
          </w:p>
        </w:tc>
        <w:tc>
          <w:tcPr>
            <w:tcW w:type="dxa" w:w="864"/>
          </w:tcPr>
          <w:p>
            <w:r/>
            <w:r>
              <w:rPr>
                <w:rFonts w:ascii="Times New Roman" w:hAnsi="Times New Roman"/>
                <w:sz w:val="18"/>
              </w:rPr>
              <w:t>Yes</w:t>
            </w:r>
          </w:p>
        </w:tc>
      </w:tr>
    </w:tbl>
    <w:p>
      <w:r>
        <w:rPr>
          <w:i/>
          <w:sz w:val="18"/>
        </w:rPr>
        <w:t>Table 1: Positioning of SecPipeAI relative to existing cloud security and DevSecOps approaches.</w:t>
      </w:r>
    </w:p>
    <w:p>
      <w:r>
        <w:br w:type="page"/>
      </w:r>
    </w:p>
    <w:p>
      <w:pPr>
        <w:pStyle w:val="Heading1"/>
      </w:pPr>
      <w:r>
        <w:t>3. System Architecture</w:t>
      </w:r>
    </w:p>
    <w:p>
      <w:pPr>
        <w:pStyle w:val="Heading2"/>
      </w:pPr>
      <w:r>
        <w:t>3.1 Architecture Overview</w:t>
      </w:r>
    </w:p>
    <w:p>
      <w:r>
        <w:t>SecPipeAI is composed of three interconnected components deployed within a Kubernetes cluster alongside the target CI/CD pipeline, following a Collect–Detect–Respond pattern aligned with NIST Cybersecurity Framework functions.</w:t>
      </w:r>
    </w:p>
    <w:p>
      <w:r>
        <w:rPr>
          <w:b/>
          <w:i/>
        </w:rPr>
        <w:t xml:space="preserve">Definition 1 (System Model). </w:t>
      </w:r>
      <w:r>
        <w:t>Let P = {p_1, ..., p_n} denote CI/CD pipeline instances executing within Kubernetes cluster K. Each instance p_i generates telemetry stream T_i = {e_1, ..., e_m} where event e_j = (timestamp, stage, event_type, payload, resource_metrics). The SecPipeAI system S = (C, D, R) consists of Collector C that instruments P to produce T, Detector D that classifies events as normal or anomalous, and Responder R that maps anomalies to remediation actions.</w:t>
      </w:r>
    </w:p>
    <w:p>
      <w:pPr>
        <w:pStyle w:val="Heading2"/>
      </w:pPr>
      <w:r>
        <w:t>3.2 Component 1: Pipeline Telemetry Collector (C)</w:t>
      </w:r>
    </w:p>
    <w:p>
      <w:r>
        <w:t>The Collector deploys as a Kubernetes sidecar container injected via mutating admission webhook. It captures five telemetry categories:</w:t>
      </w:r>
    </w:p>
    <w:p>
      <w:r>
        <w:rPr>
          <w:b/>
        </w:rPr>
        <w:t xml:space="preserve">Build event logs: </w:t>
      </w:r>
      <w:r>
        <w:t>Stage transitions, command executions, exit codes, timing per step.</w:t>
      </w:r>
    </w:p>
    <w:p>
      <w:r>
        <w:rPr>
          <w:b/>
        </w:rPr>
        <w:t xml:space="preserve">Resource utilization: </w:t>
      </w:r>
      <w:r>
        <w:t>CPU, memory, network I/O, disk I/O at 5-second granularity via Metrics API.</w:t>
      </w:r>
    </w:p>
    <w:p>
      <w:r>
        <w:rPr>
          <w:b/>
        </w:rPr>
        <w:t xml:space="preserve">Artifact provenance: </w:t>
      </w:r>
      <w:r>
        <w:t>SHA-256 hashes of dependencies, intermediates, and outputs as in-toto attestations.</w:t>
      </w:r>
    </w:p>
    <w:p>
      <w:r>
        <w:rPr>
          <w:b/>
        </w:rPr>
        <w:t xml:space="preserve">Configuration diffs: </w:t>
      </w:r>
      <w:r>
        <w:t>Semantic diffs of IaC templates as structured JSON patches.</w:t>
      </w:r>
    </w:p>
    <w:p>
      <w:r>
        <w:rPr>
          <w:b/>
        </w:rPr>
        <w:t xml:space="preserve">Container image metadata: </w:t>
      </w:r>
      <w:r>
        <w:t>Base image lineage, layer composition, SBOM in SPDX/CycloneDX format.</w:t>
      </w:r>
    </w:p>
    <w:p>
      <w:r>
        <w:t>Events serialize as Protocol Buffers and publish to Apache Kafka partitioned by pipeline instance.</w:t>
      </w:r>
    </w:p>
    <w:p>
      <w:r>
        <w:rPr>
          <w:b/>
          <w:i/>
        </w:rPr>
        <w:t xml:space="preserve">Definition 2 (Telemetry Feature Space). </w:t>
      </w:r>
      <w:r>
        <w:t>The raw telemetry T is transformed into three feature categories: structured features F_s (fixed-length numerical/categorical vectors from sliding windows), sequential features F_seq (time-ordered event embedding sequences of length 50 with 50% overlap), and provenance features F_p (binary/categorical features from artifact provenance analysis).</w:t>
      </w:r>
    </w:p>
    <w:p>
      <w:pPr>
        <w:pStyle w:val="Heading2"/>
      </w:pPr>
      <w:r>
        <w:t>3.3 Component 2: Ensemble Anomaly Detection Engine (D)</w:t>
      </w:r>
    </w:p>
    <w:p>
      <w:r>
        <w:t>The Detector processes unified telemetry through a two-stage ensemble:</w:t>
      </w:r>
    </w:p>
    <w:p>
      <w:r>
        <w:rPr>
          <w:b/>
        </w:rPr>
        <w:t xml:space="preserve">Stage 1 — Feature-based classification (XGBoost): </w:t>
      </w:r>
      <w:r>
        <w:t>Structured and provenance features (F_s ∪ F_p) are classified using gradient-boosted trees. XGBoost provides interpretable feature importance, sub-millisecond inference, and robustness to feature correlation—properties established for IDS tasks by Sajid et al. (2024).</w:t>
      </w:r>
    </w:p>
    <w:p>
      <w:r>
        <w:rPr>
          <w:b/>
        </w:rPr>
        <w:t xml:space="preserve">Stage 2 — Sequence-based anomaly scoring (LSTM-AE): </w:t>
      </w:r>
      <w:r>
        <w:t>Sequential features F_seq are processed by an LSTM autoencoder that reconstructs normal pipeline execution sequences. Anomalies are identified by reconstruction error exceeding a learned threshold at the 95th percentile of training error distribution.</w:t>
      </w:r>
    </w:p>
    <w:p>
      <w:r>
        <w:rPr>
          <w:b/>
          <w:i/>
        </w:rPr>
        <w:t xml:space="preserve">Definition 3 (Ensemble Decision Function). </w:t>
      </w:r>
      <w:r>
        <w:t>For event window w, let s_xgb(w) denote XGBoost anomaly probability and s_lstm(w) denote normalized LSTM-AE reconstruction error. The ensemble decision is: d(w) = α · s_xgb(w) + (1 − α) · s_lstm(w), where α ∈ [0,1] is optimized on held-out validation data. Anomaly flagged when d(w) &gt; τ, where threshold τ balances sensitivity against false alarm rate. Both α and τ are selected via grid search over α ∈ {0.3,...,0.7} and τ ∈ {0.3,...,0.7}, maximizing F1 subject to FAR &lt; 5%.</w:t>
      </w:r>
    </w:p>
    <w:p>
      <w:pPr>
        <w:pStyle w:val="Heading2"/>
      </w:pPr>
      <w:r>
        <w:t>3.4 Component 3: Policy-Driven Response Orchestrator (R)</w:t>
      </w:r>
    </w:p>
    <w:p>
      <w:r>
        <w:t>The Orchestrator maps detections to remediation actions through OPA Rego rules with graduated response:</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fill="D9E2F3"/>
          </w:tcPr>
          <w:p>
            <w:pPr>
              <w:jc w:val="center"/>
            </w:pPr>
            <w:r/>
            <w:r>
              <w:rPr>
                <w:rFonts w:ascii="Times New Roman" w:hAnsi="Times New Roman"/>
                <w:b/>
                <w:sz w:val="18"/>
              </w:rPr>
              <w:t>Severity</w:t>
            </w:r>
          </w:p>
        </w:tc>
        <w:tc>
          <w:tcPr>
            <w:tcW w:type="dxa" w:w="1440"/>
            <w:shd w:fill="D9E2F3"/>
          </w:tcPr>
          <w:p>
            <w:pPr>
              <w:jc w:val="center"/>
            </w:pPr>
            <w:r/>
            <w:r>
              <w:rPr>
                <w:rFonts w:ascii="Times New Roman" w:hAnsi="Times New Roman"/>
                <w:b/>
                <w:sz w:val="18"/>
              </w:rPr>
              <w:t>Threshold</w:t>
            </w:r>
          </w:p>
        </w:tc>
        <w:tc>
          <w:tcPr>
            <w:tcW w:type="dxa" w:w="5760"/>
            <w:shd w:fill="D9E2F3"/>
          </w:tcPr>
          <w:p>
            <w:pPr>
              <w:jc w:val="center"/>
            </w:pPr>
            <w:r/>
            <w:r>
              <w:rPr>
                <w:rFonts w:ascii="Times New Roman" w:hAnsi="Times New Roman"/>
                <w:b/>
                <w:sz w:val="18"/>
              </w:rPr>
              <w:t>Actions</w:t>
            </w:r>
          </w:p>
        </w:tc>
      </w:tr>
      <w:tr>
        <w:tc>
          <w:tcPr>
            <w:tcW w:type="dxa" w:w="1152"/>
          </w:tcPr>
          <w:p>
            <w:r/>
            <w:r>
              <w:rPr>
                <w:rFonts w:ascii="Times New Roman" w:hAnsi="Times New Roman"/>
                <w:sz w:val="18"/>
              </w:rPr>
              <w:t>Low</w:t>
            </w:r>
          </w:p>
        </w:tc>
        <w:tc>
          <w:tcPr>
            <w:tcW w:type="dxa" w:w="1440"/>
          </w:tcPr>
          <w:p>
            <w:r/>
            <w:r>
              <w:rPr>
                <w:rFonts w:ascii="Times New Roman" w:hAnsi="Times New Roman"/>
                <w:sz w:val="18"/>
              </w:rPr>
              <w:t>d(w) &gt; τ</w:t>
            </w:r>
          </w:p>
        </w:tc>
        <w:tc>
          <w:tcPr>
            <w:tcW w:type="dxa" w:w="5760"/>
          </w:tcPr>
          <w:p>
            <w:r/>
            <w:r>
              <w:rPr>
                <w:rFonts w:ascii="Times New Roman" w:hAnsi="Times New Roman"/>
                <w:sz w:val="18"/>
              </w:rPr>
              <w:t>Log, annotate run, webhook notification</w:t>
            </w:r>
          </w:p>
        </w:tc>
      </w:tr>
      <w:tr>
        <w:tc>
          <w:tcPr>
            <w:tcW w:type="dxa" w:w="1152"/>
          </w:tcPr>
          <w:p>
            <w:r/>
            <w:r>
              <w:rPr>
                <w:rFonts w:ascii="Times New Roman" w:hAnsi="Times New Roman"/>
                <w:sz w:val="18"/>
              </w:rPr>
              <w:t>Medium</w:t>
            </w:r>
          </w:p>
        </w:tc>
        <w:tc>
          <w:tcPr>
            <w:tcW w:type="dxa" w:w="1440"/>
          </w:tcPr>
          <w:p>
            <w:r/>
            <w:r>
              <w:rPr>
                <w:rFonts w:ascii="Times New Roman" w:hAnsi="Times New Roman"/>
                <w:sz w:val="18"/>
              </w:rPr>
              <w:t>d(w) &gt; τ + 0.2</w:t>
            </w:r>
          </w:p>
        </w:tc>
        <w:tc>
          <w:tcPr>
            <w:tcW w:type="dxa" w:w="5760"/>
          </w:tcPr>
          <w:p>
            <w:r/>
            <w:r>
              <w:rPr>
                <w:rFonts w:ascii="Times New Roman" w:hAnsi="Times New Roman"/>
                <w:sz w:val="18"/>
              </w:rPr>
              <w:t>Pause pipeline, require manual approval, create ticket</w:t>
            </w:r>
          </w:p>
        </w:tc>
      </w:tr>
      <w:tr>
        <w:tc>
          <w:tcPr>
            <w:tcW w:type="dxa" w:w="1152"/>
          </w:tcPr>
          <w:p>
            <w:r/>
            <w:r>
              <w:rPr>
                <w:rFonts w:ascii="Times New Roman" w:hAnsi="Times New Roman"/>
                <w:sz w:val="18"/>
              </w:rPr>
              <w:t>High</w:t>
            </w:r>
          </w:p>
        </w:tc>
        <w:tc>
          <w:tcPr>
            <w:tcW w:type="dxa" w:w="1440"/>
          </w:tcPr>
          <w:p>
            <w:r/>
            <w:r>
              <w:rPr>
                <w:rFonts w:ascii="Times New Roman" w:hAnsi="Times New Roman"/>
                <w:sz w:val="18"/>
              </w:rPr>
              <w:t>d(w) &gt; τ + 0.4</w:t>
            </w:r>
          </w:p>
        </w:tc>
        <w:tc>
          <w:tcPr>
            <w:tcW w:type="dxa" w:w="5760"/>
          </w:tcPr>
          <w:p>
            <w:r/>
            <w:r>
              <w:rPr>
                <w:rFonts w:ascii="Times New Roman" w:hAnsi="Times New Roman"/>
                <w:sz w:val="18"/>
              </w:rPr>
              <w:t>Halt pipeline, quarantine artifacts, revoke credentials, alert on-call</w:t>
            </w:r>
          </w:p>
        </w:tc>
      </w:tr>
    </w:tbl>
    <w:p>
      <w:r>
        <w:rPr>
          <w:i/>
          <w:sz w:val="18"/>
        </w:rPr>
        <w:t>Table 2: Graduated response actions based on ensemble anomaly score.</w:t>
      </w:r>
    </w:p>
    <w:p>
      <w:r>
        <w:rPr>
          <w:b/>
          <w:i/>
        </w:rPr>
        <w:t xml:space="preserve">Definition 4 (Response Function). </w:t>
      </w:r>
      <w:r>
        <w:t>R: D × A → M maps a detection d with attack-type classification a to a set of mitigations M drawn from the MITRE ATT&amp;CK mitigation catalog, filtered by the OPA policy engine according to organizational risk tolerance parameters.</w:t>
      </w:r>
    </w:p>
    <w:p>
      <w:r>
        <w:br w:type="page"/>
      </w:r>
    </w:p>
    <w:p>
      <w:pPr>
        <w:pStyle w:val="Heading1"/>
      </w:pPr>
      <w:r>
        <w:t>4. Threat Model</w:t>
      </w:r>
    </w:p>
    <w:p>
      <w:pPr>
        <w:pStyle w:val="Heading2"/>
      </w:pPr>
      <w:r>
        <w:t>4.1 System Assumptions</w:t>
      </w:r>
    </w:p>
    <w:p>
      <w:r>
        <w:rPr>
          <w:b/>
        </w:rPr>
        <w:t xml:space="preserve">A1 (Trusted compute base): </w:t>
      </w:r>
      <w:r>
        <w:t>Kubernetes control plane, container runtime (containerd), and host OS are trusted. Hypervisor/kernel attacks are out of scope.</w:t>
      </w:r>
    </w:p>
    <w:p>
      <w:r>
        <w:rPr>
          <w:b/>
        </w:rPr>
        <w:t xml:space="preserve">A2 (Authenticated users): </w:t>
      </w:r>
      <w:r>
        <w:t>Pipeline users authenticate via the organization’s IdP. We consider both compromised insiders and external attackers with unauthorized access.</w:t>
      </w:r>
    </w:p>
    <w:p>
      <w:r>
        <w:rPr>
          <w:b/>
        </w:rPr>
        <w:t xml:space="preserve">A3 (Network security): </w:t>
      </w:r>
      <w:r>
        <w:t>TLS 1.3 protects inter-service communication. Network-level attacks are mitigated by cluster network policy and are out of scope.</w:t>
      </w:r>
    </w:p>
    <w:p>
      <w:r>
        <w:rPr>
          <w:b/>
        </w:rPr>
        <w:t xml:space="preserve">A4 (Telemetry integrity): </w:t>
      </w:r>
      <w:r>
        <w:t>The Collector operates in a restricted security context. Compromise of a pipeline step cannot modify telemetry already published to Kafka without additionally compromising the sidecar.</w:t>
      </w:r>
    </w:p>
    <w:p>
      <w:r>
        <w:rPr>
          <w:b/>
        </w:rPr>
        <w:t xml:space="preserve">A5 (Resource availability): </w:t>
      </w:r>
      <w:r>
        <w:t>Sufficient resources exist for real-time inference. Resource exhaustion attacks against the Detector are noted as a limitation in Section 8.</w:t>
      </w:r>
    </w:p>
    <w:p>
      <w:pPr>
        <w:pStyle w:val="Heading2"/>
      </w:pPr>
      <w:r>
        <w:t>4.2 Adversary Model</w:t>
      </w:r>
    </w:p>
    <w:p>
      <w:r>
        <w:rPr>
          <w:b/>
          <w:i/>
        </w:rPr>
        <w:t xml:space="preserve">Definition 5 (Adversary). </w:t>
      </w:r>
      <w:r>
        <w:t>A polynomially-bounded adversary Adv who can: (i) submit/modify code triggering pipeline execution; (ii) introduce malicious dependencies; (iii) modify IaC configurations; (iv) exfiltrate secrets from build environments. Adv cannot: (a) modify the Kubernetes control plane; (b) compromise telemetry infrastructure directly; (c) perform side-channel attacks on ML inference hardware.</w:t>
      </w:r>
    </w:p>
    <w:p>
      <w:pPr>
        <w:pStyle w:val="Heading2"/>
      </w:pPr>
      <w:r>
        <w:t>4.3 Threat Surface Mapping</w:t>
      </w:r>
    </w:p>
    <w:p>
      <w:r>
        <w:t>Table 3 maps the CI/CD attack surface to STRIDE categories and MITRE ATT&amp;CK identifiers.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fill="D9E2F3"/>
          </w:tcPr>
          <w:p>
            <w:pPr>
              <w:jc w:val="center"/>
            </w:pPr>
            <w:r/>
            <w:r>
              <w:rPr>
                <w:rFonts w:ascii="Times New Roman" w:hAnsi="Times New Roman"/>
                <w:b/>
                <w:sz w:val="18"/>
              </w:rPr>
              <w:t>STRIDE</w:t>
            </w:r>
          </w:p>
        </w:tc>
        <w:tc>
          <w:tcPr>
            <w:tcW w:type="dxa" w:w="1728"/>
            <w:shd w:fill="D9E2F3"/>
          </w:tcPr>
          <w:p>
            <w:pPr>
              <w:jc w:val="center"/>
            </w:pPr>
            <w:r/>
            <w:r>
              <w:rPr>
                <w:rFonts w:ascii="Times New Roman" w:hAnsi="Times New Roman"/>
                <w:b/>
                <w:sz w:val="18"/>
              </w:rPr>
              <w:t>Attack Vector</w:t>
            </w:r>
          </w:p>
        </w:tc>
        <w:tc>
          <w:tcPr>
            <w:tcW w:type="dxa" w:w="1152"/>
            <w:shd w:fill="D9E2F3"/>
          </w:tcPr>
          <w:p>
            <w:pPr>
              <w:jc w:val="center"/>
            </w:pPr>
            <w:r/>
            <w:r>
              <w:rPr>
                <w:rFonts w:ascii="Times New Roman" w:hAnsi="Times New Roman"/>
                <w:b/>
                <w:sz w:val="18"/>
              </w:rPr>
              <w:t>ATT&amp;CK ID</w:t>
            </w:r>
          </w:p>
        </w:tc>
        <w:tc>
          <w:tcPr>
            <w:tcW w:type="dxa" w:w="1008"/>
            <w:shd w:fill="D9E2F3"/>
          </w:tcPr>
          <w:p>
            <w:pPr>
              <w:jc w:val="center"/>
            </w:pPr>
            <w:r/>
            <w:r>
              <w:rPr>
                <w:rFonts w:ascii="Times New Roman" w:hAnsi="Times New Roman"/>
                <w:b/>
                <w:sz w:val="18"/>
              </w:rPr>
              <w:t>Stage</w:t>
            </w:r>
          </w:p>
        </w:tc>
        <w:tc>
          <w:tcPr>
            <w:tcW w:type="dxa" w:w="1008"/>
            <w:shd w:fill="D9E2F3"/>
          </w:tcPr>
          <w:p>
            <w:pPr>
              <w:jc w:val="center"/>
            </w:pPr>
            <w:r/>
            <w:r>
              <w:rPr>
                <w:rFonts w:ascii="Times New Roman" w:hAnsi="Times New Roman"/>
                <w:b/>
                <w:sz w:val="18"/>
              </w:rPr>
              <w:t>Detector</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Direct PPE</w:t>
            </w:r>
          </w:p>
        </w:tc>
        <w:tc>
          <w:tcPr>
            <w:tcW w:type="dxa" w:w="1152"/>
          </w:tcPr>
          <w:p>
            <w:r/>
            <w:r>
              <w:rPr>
                <w:rFonts w:ascii="Times New Roman" w:hAnsi="Times New Roman"/>
                <w:sz w:val="18"/>
              </w:rPr>
              <w:t>T1677.001</w:t>
            </w:r>
          </w:p>
        </w:tc>
        <w:tc>
          <w:tcPr>
            <w:tcW w:type="dxa" w:w="1008"/>
          </w:tcPr>
          <w:p>
            <w:r/>
            <w:r>
              <w:rPr>
                <w:rFonts w:ascii="Times New Roman" w:hAnsi="Times New Roman"/>
                <w:sz w:val="18"/>
              </w:rPr>
              <w:t>Build/Deploy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Indirect PPE</w:t>
            </w:r>
          </w:p>
        </w:tc>
        <w:tc>
          <w:tcPr>
            <w:tcW w:type="dxa" w:w="1152"/>
          </w:tcPr>
          <w:p>
            <w:r/>
            <w:r>
              <w:rPr>
                <w:rFonts w:ascii="Times New Roman" w:hAnsi="Times New Roman"/>
                <w:sz w:val="18"/>
              </w:rPr>
              <w:t>T1677.002</w:t>
            </w:r>
          </w:p>
        </w:tc>
        <w:tc>
          <w:tcPr>
            <w:tcW w:type="dxa" w:w="1008"/>
          </w:tcPr>
          <w:p>
            <w:r/>
            <w:r>
              <w:rPr>
                <w:rFonts w:ascii="Times New Roman" w:hAnsi="Times New Roman"/>
                <w:sz w:val="18"/>
              </w:rPr>
              <w:t>Build</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Dependency confusion</w:t>
            </w:r>
          </w:p>
        </w:tc>
        <w:tc>
          <w:tcPr>
            <w:tcW w:type="dxa" w:w="1152"/>
          </w:tcPr>
          <w:p>
            <w:r/>
            <w:r>
              <w:rPr>
                <w:rFonts w:ascii="Times New Roman" w:hAnsi="Times New Roman"/>
                <w:sz w:val="18"/>
              </w:rPr>
              <w:t>T1195.002</w:t>
            </w:r>
          </w:p>
        </w:tc>
        <w:tc>
          <w:tcPr>
            <w:tcW w:type="dxa" w:w="1008"/>
          </w:tcPr>
          <w:p>
            <w:r/>
            <w:r>
              <w:rPr>
                <w:rFonts w:ascii="Times New Roman" w:hAnsi="Times New Roman"/>
                <w:sz w:val="18"/>
              </w:rPr>
              <w:t>Build</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Elevation</w:t>
            </w:r>
          </w:p>
        </w:tc>
        <w:tc>
          <w:tcPr>
            <w:tcW w:type="dxa" w:w="1728"/>
          </w:tcPr>
          <w:p>
            <w:r/>
            <w:r>
              <w:rPr>
                <w:rFonts w:ascii="Times New Roman" w:hAnsi="Times New Roman"/>
                <w:sz w:val="18"/>
              </w:rPr>
              <w:t>Container escape</w:t>
            </w:r>
          </w:p>
        </w:tc>
        <w:tc>
          <w:tcPr>
            <w:tcW w:type="dxa" w:w="1152"/>
          </w:tcPr>
          <w:p>
            <w:r/>
            <w:r>
              <w:rPr>
                <w:rFonts w:ascii="Times New Roman" w:hAnsi="Times New Roman"/>
                <w:sz w:val="18"/>
              </w:rPr>
              <w:t>T1611</w:t>
            </w:r>
          </w:p>
        </w:tc>
        <w:tc>
          <w:tcPr>
            <w:tcW w:type="dxa" w:w="1008"/>
          </w:tcPr>
          <w:p>
            <w:r/>
            <w:r>
              <w:rPr>
                <w:rFonts w:ascii="Times New Roman" w:hAnsi="Times New Roman"/>
                <w:sz w:val="18"/>
              </w:rPr>
              <w:t>Runtime</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Elevation</w:t>
            </w:r>
          </w:p>
        </w:tc>
        <w:tc>
          <w:tcPr>
            <w:tcW w:type="dxa" w:w="1728"/>
          </w:tcPr>
          <w:p>
            <w:r/>
            <w:r>
              <w:rPr>
                <w:rFonts w:ascii="Times New Roman" w:hAnsi="Times New Roman"/>
                <w:sz w:val="18"/>
              </w:rPr>
              <w:t>Privileged container</w:t>
            </w:r>
          </w:p>
        </w:tc>
        <w:tc>
          <w:tcPr>
            <w:tcW w:type="dxa" w:w="1152"/>
          </w:tcPr>
          <w:p>
            <w:r/>
            <w:r>
              <w:rPr>
                <w:rFonts w:ascii="Times New Roman" w:hAnsi="Times New Roman"/>
                <w:sz w:val="18"/>
              </w:rPr>
              <w:t>T1609</w:t>
            </w:r>
          </w:p>
        </w:tc>
        <w:tc>
          <w:tcPr>
            <w:tcW w:type="dxa" w:w="1008"/>
          </w:tcPr>
          <w:p>
            <w:r/>
            <w:r>
              <w:rPr>
                <w:rFonts w:ascii="Times New Roman" w:hAnsi="Times New Roman"/>
                <w:sz w:val="18"/>
              </w:rPr>
              <w:t>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Info. Disclosure</w:t>
            </w:r>
          </w:p>
        </w:tc>
        <w:tc>
          <w:tcPr>
            <w:tcW w:type="dxa" w:w="1728"/>
          </w:tcPr>
          <w:p>
            <w:r/>
            <w:r>
              <w:rPr>
                <w:rFonts w:ascii="Times New Roman" w:hAnsi="Times New Roman"/>
                <w:sz w:val="18"/>
              </w:rPr>
              <w:t>Secret exfiltration</w:t>
            </w:r>
          </w:p>
        </w:tc>
        <w:tc>
          <w:tcPr>
            <w:tcW w:type="dxa" w:w="1152"/>
          </w:tcPr>
          <w:p>
            <w:r/>
            <w:r>
              <w:rPr>
                <w:rFonts w:ascii="Times New Roman" w:hAnsi="Times New Roman"/>
                <w:sz w:val="18"/>
              </w:rPr>
              <w:t>T1552.001</w:t>
            </w:r>
          </w:p>
        </w:tc>
        <w:tc>
          <w:tcPr>
            <w:tcW w:type="dxa" w:w="1008"/>
          </w:tcPr>
          <w:p>
            <w:r/>
            <w:r>
              <w:rPr>
                <w:rFonts w:ascii="Times New Roman" w:hAnsi="Times New Roman"/>
                <w:sz w:val="18"/>
              </w:rPr>
              <w:t>Build/Test</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Spoofing</w:t>
            </w:r>
          </w:p>
        </w:tc>
        <w:tc>
          <w:tcPr>
            <w:tcW w:type="dxa" w:w="1728"/>
          </w:tcPr>
          <w:p>
            <w:r/>
            <w:r>
              <w:rPr>
                <w:rFonts w:ascii="Times New Roman" w:hAnsi="Times New Roman"/>
                <w:sz w:val="18"/>
              </w:rPr>
              <w:t>Compromised base image</w:t>
            </w:r>
          </w:p>
        </w:tc>
        <w:tc>
          <w:tcPr>
            <w:tcW w:type="dxa" w:w="1152"/>
          </w:tcPr>
          <w:p>
            <w:r/>
            <w:r>
              <w:rPr>
                <w:rFonts w:ascii="Times New Roman" w:hAnsi="Times New Roman"/>
                <w:sz w:val="18"/>
              </w:rPr>
              <w:t>T1525</w:t>
            </w:r>
          </w:p>
        </w:tc>
        <w:tc>
          <w:tcPr>
            <w:tcW w:type="dxa" w:w="1008"/>
          </w:tcPr>
          <w:p>
            <w:r/>
            <w:r>
              <w:rPr>
                <w:rFonts w:ascii="Times New Roman" w:hAnsi="Times New Roman"/>
                <w:sz w:val="18"/>
              </w:rPr>
              <w:t>Build</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Spoofing</w:t>
            </w:r>
          </w:p>
        </w:tc>
        <w:tc>
          <w:tcPr>
            <w:tcW w:type="dxa" w:w="1728"/>
          </w:tcPr>
          <w:p>
            <w:r/>
            <w:r>
              <w:rPr>
                <w:rFonts w:ascii="Times New Roman" w:hAnsi="Times New Roman"/>
                <w:sz w:val="18"/>
              </w:rPr>
              <w:t>Provenance forgery</w:t>
            </w:r>
          </w:p>
        </w:tc>
        <w:tc>
          <w:tcPr>
            <w:tcW w:type="dxa" w:w="1152"/>
          </w:tcPr>
          <w:p>
            <w:r/>
            <w:r>
              <w:rPr>
                <w:rFonts w:ascii="Times New Roman" w:hAnsi="Times New Roman"/>
                <w:sz w:val="18"/>
              </w:rPr>
              <w:t>T1036</w:t>
            </w:r>
          </w:p>
        </w:tc>
        <w:tc>
          <w:tcPr>
            <w:tcW w:type="dxa" w:w="1008"/>
          </w:tcPr>
          <w:p>
            <w:r/>
            <w:r>
              <w:rPr>
                <w:rFonts w:ascii="Times New Roman" w:hAnsi="Times New Roman"/>
                <w:sz w:val="18"/>
              </w:rPr>
              <w:t>Package</w:t>
            </w:r>
          </w:p>
        </w:tc>
        <w:tc>
          <w:tcPr>
            <w:tcW w:type="dxa" w:w="1008"/>
          </w:tcPr>
          <w:p>
            <w:r/>
            <w:r>
              <w:rPr>
                <w:rFonts w:ascii="Times New Roman" w:hAnsi="Times New Roman"/>
                <w:sz w:val="18"/>
              </w:rPr>
              <w:t>Collector</w:t>
            </w:r>
          </w:p>
        </w:tc>
      </w:tr>
      <w:tr>
        <w:tc>
          <w:tcPr>
            <w:tcW w:type="dxa" w:w="1008"/>
          </w:tcPr>
          <w:p>
            <w:r/>
            <w:r>
              <w:rPr>
                <w:rFonts w:ascii="Times New Roman" w:hAnsi="Times New Roman"/>
                <w:sz w:val="18"/>
              </w:rPr>
              <w:t>DoS</w:t>
            </w:r>
          </w:p>
        </w:tc>
        <w:tc>
          <w:tcPr>
            <w:tcW w:type="dxa" w:w="1728"/>
          </w:tcPr>
          <w:p>
            <w:r/>
            <w:r>
              <w:rPr>
                <w:rFonts w:ascii="Times New Roman" w:hAnsi="Times New Roman"/>
                <w:sz w:val="18"/>
              </w:rPr>
              <w:t>Resource exhaustion</w:t>
            </w:r>
          </w:p>
        </w:tc>
        <w:tc>
          <w:tcPr>
            <w:tcW w:type="dxa" w:w="1152"/>
          </w:tcPr>
          <w:p>
            <w:r/>
            <w:r>
              <w:rPr>
                <w:rFonts w:ascii="Times New Roman" w:hAnsi="Times New Roman"/>
                <w:sz w:val="18"/>
              </w:rPr>
              <w:t>T1499</w:t>
            </w:r>
          </w:p>
        </w:tc>
        <w:tc>
          <w:tcPr>
            <w:tcW w:type="dxa" w:w="1008"/>
          </w:tcPr>
          <w:p>
            <w:r/>
            <w:r>
              <w:rPr>
                <w:rFonts w:ascii="Times New Roman" w:hAnsi="Times New Roman"/>
                <w:sz w:val="18"/>
              </w:rPr>
              <w:t>Build</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Repudiation</w:t>
            </w:r>
          </w:p>
        </w:tc>
        <w:tc>
          <w:tcPr>
            <w:tcW w:type="dxa" w:w="1728"/>
          </w:tcPr>
          <w:p>
            <w:r/>
            <w:r>
              <w:rPr>
                <w:rFonts w:ascii="Times New Roman" w:hAnsi="Times New Roman"/>
                <w:sz w:val="18"/>
              </w:rPr>
              <w:t>Audit log tampering</w:t>
            </w:r>
          </w:p>
        </w:tc>
        <w:tc>
          <w:tcPr>
            <w:tcW w:type="dxa" w:w="1152"/>
          </w:tcPr>
          <w:p>
            <w:r/>
            <w:r>
              <w:rPr>
                <w:rFonts w:ascii="Times New Roman" w:hAnsi="Times New Roman"/>
                <w:sz w:val="18"/>
              </w:rPr>
              <w:t>T1070.002</w:t>
            </w:r>
          </w:p>
        </w:tc>
        <w:tc>
          <w:tcPr>
            <w:tcW w:type="dxa" w:w="1008"/>
          </w:tcPr>
          <w:p>
            <w:r/>
            <w:r>
              <w:rPr>
                <w:rFonts w:ascii="Times New Roman" w:hAnsi="Times New Roman"/>
                <w:sz w:val="18"/>
              </w:rPr>
              <w:t>All</w:t>
            </w:r>
          </w:p>
        </w:tc>
        <w:tc>
          <w:tcPr>
            <w:tcW w:type="dxa" w:w="1008"/>
          </w:tcPr>
          <w:p>
            <w:r/>
            <w:r>
              <w:rPr>
                <w:rFonts w:ascii="Times New Roman" w:hAnsi="Times New Roman"/>
                <w:sz w:val="18"/>
              </w:rPr>
              <w:t>Collector</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IaC misconfiguration</w:t>
            </w:r>
          </w:p>
        </w:tc>
        <w:tc>
          <w:tcPr>
            <w:tcW w:type="dxa" w:w="1152"/>
          </w:tcPr>
          <w:p>
            <w:r/>
            <w:r>
              <w:rPr>
                <w:rFonts w:ascii="Times New Roman" w:hAnsi="Times New Roman"/>
                <w:sz w:val="18"/>
              </w:rPr>
              <w:t>T1578</w:t>
            </w:r>
          </w:p>
        </w:tc>
        <w:tc>
          <w:tcPr>
            <w:tcW w:type="dxa" w:w="1008"/>
          </w:tcPr>
          <w:p>
            <w:r/>
            <w:r>
              <w:rPr>
                <w:rFonts w:ascii="Times New Roman" w:hAnsi="Times New Roman"/>
                <w:sz w:val="18"/>
              </w:rPr>
              <w:t>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Info. Disclosure</w:t>
            </w:r>
          </w:p>
        </w:tc>
        <w:tc>
          <w:tcPr>
            <w:tcW w:type="dxa" w:w="1728"/>
          </w:tcPr>
          <w:p>
            <w:r/>
            <w:r>
              <w:rPr>
                <w:rFonts w:ascii="Times New Roman" w:hAnsi="Times New Roman"/>
                <w:sz w:val="18"/>
              </w:rPr>
              <w:t>Build log leakage</w:t>
            </w:r>
          </w:p>
        </w:tc>
        <w:tc>
          <w:tcPr>
            <w:tcW w:type="dxa" w:w="1152"/>
          </w:tcPr>
          <w:p>
            <w:r/>
            <w:r>
              <w:rPr>
                <w:rFonts w:ascii="Times New Roman" w:hAnsi="Times New Roman"/>
                <w:sz w:val="18"/>
              </w:rPr>
              <w:t>T1005</w:t>
            </w:r>
          </w:p>
        </w:tc>
        <w:tc>
          <w:tcPr>
            <w:tcW w:type="dxa" w:w="1008"/>
          </w:tcPr>
          <w:p>
            <w:r/>
            <w:r>
              <w:rPr>
                <w:rFonts w:ascii="Times New Roman" w:hAnsi="Times New Roman"/>
                <w:sz w:val="18"/>
              </w:rPr>
              <w:t>Build</w:t>
            </w:r>
          </w:p>
        </w:tc>
        <w:tc>
          <w:tcPr>
            <w:tcW w:type="dxa" w:w="1008"/>
          </w:tcPr>
          <w:p>
            <w:r/>
            <w:r>
              <w:rPr>
                <w:rFonts w:ascii="Times New Roman" w:hAnsi="Times New Roman"/>
                <w:sz w:val="18"/>
              </w:rPr>
              <w:t>Policy engine</w:t>
            </w:r>
          </w:p>
        </w:tc>
      </w:tr>
    </w:tbl>
    <w:p>
      <w:r>
        <w:rPr>
          <w:i/>
          <w:sz w:val="18"/>
        </w:rPr>
        <w:t>Table 3: STRIDE-based threat model mapped to MITRE ATT&amp;CK technique identifiers.</w:t>
      </w:r>
    </w:p>
    <w:p>
      <w:pPr>
        <w:pStyle w:val="Heading2"/>
      </w:pPr>
      <w:r>
        <w:t>4.4 SLSA Level Mapping</w:t>
      </w:r>
    </w:p>
    <w:tbl>
      <w:tblPr>
        <w:tblStyle w:val="TableGrid"/>
        <w:tblW w:type="auto" w:w="0"/>
        <w:jc w:val="center"/>
        <w:tblLook w:firstColumn="1" w:firstRow="1" w:lastColumn="0" w:lastRow="0" w:noHBand="0" w:noVBand="1" w:val="04A0"/>
      </w:tblPr>
      <w:tblGrid>
        <w:gridCol w:w="2880"/>
        <w:gridCol w:w="2880"/>
        <w:gridCol w:w="2880"/>
      </w:tblGrid>
      <w:tr>
        <w:tc>
          <w:tcPr>
            <w:tcW w:type="dxa" w:w="864"/>
            <w:shd w:fill="D9E2F3"/>
          </w:tcPr>
          <w:p>
            <w:pPr>
              <w:jc w:val="center"/>
            </w:pPr>
            <w:r/>
            <w:r>
              <w:rPr>
                <w:rFonts w:ascii="Times New Roman" w:hAnsi="Times New Roman"/>
                <w:b/>
                <w:sz w:val="18"/>
              </w:rPr>
              <w:t>SLSA Level</w:t>
            </w:r>
          </w:p>
        </w:tc>
        <w:tc>
          <w:tcPr>
            <w:tcW w:type="dxa" w:w="2160"/>
            <w:shd w:fill="D9E2F3"/>
          </w:tcPr>
          <w:p>
            <w:pPr>
              <w:jc w:val="center"/>
            </w:pPr>
            <w:r/>
            <w:r>
              <w:rPr>
                <w:rFonts w:ascii="Times New Roman" w:hAnsi="Times New Roman"/>
                <w:b/>
                <w:sz w:val="18"/>
              </w:rPr>
              <w:t>Requirement</w:t>
            </w:r>
          </w:p>
        </w:tc>
        <w:tc>
          <w:tcPr>
            <w:tcW w:type="dxa" w:w="5040"/>
            <w:shd w:fill="D9E2F3"/>
          </w:tcPr>
          <w:p>
            <w:pPr>
              <w:jc w:val="center"/>
            </w:pPr>
            <w:r/>
            <w:r>
              <w:rPr>
                <w:rFonts w:ascii="Times New Roman" w:hAnsi="Times New Roman"/>
                <w:b/>
                <w:sz w:val="18"/>
              </w:rPr>
              <w:t>SecPipeAI Implementation</w:t>
            </w:r>
          </w:p>
        </w:tc>
      </w:tr>
      <w:tr>
        <w:tc>
          <w:tcPr>
            <w:tcW w:type="dxa" w:w="864"/>
          </w:tcPr>
          <w:p>
            <w:r/>
            <w:r>
              <w:rPr>
                <w:rFonts w:ascii="Times New Roman" w:hAnsi="Times New Roman"/>
                <w:sz w:val="18"/>
              </w:rPr>
              <w:t>L1</w:t>
            </w:r>
          </w:p>
        </w:tc>
        <w:tc>
          <w:tcPr>
            <w:tcW w:type="dxa" w:w="2160"/>
          </w:tcPr>
          <w:p>
            <w:r/>
            <w:r>
              <w:rPr>
                <w:rFonts w:ascii="Times New Roman" w:hAnsi="Times New Roman"/>
                <w:sz w:val="18"/>
              </w:rPr>
              <w:t>Provenance documented</w:t>
            </w:r>
          </w:p>
        </w:tc>
        <w:tc>
          <w:tcPr>
            <w:tcW w:type="dxa" w:w="5040"/>
          </w:tcPr>
          <w:p>
            <w:r/>
            <w:r>
              <w:rPr>
                <w:rFonts w:ascii="Times New Roman" w:hAnsi="Times New Roman"/>
                <w:sz w:val="18"/>
              </w:rPr>
              <w:t>Collector generates in-toto attestations</w:t>
            </w:r>
          </w:p>
        </w:tc>
      </w:tr>
      <w:tr>
        <w:tc>
          <w:tcPr>
            <w:tcW w:type="dxa" w:w="864"/>
          </w:tcPr>
          <w:p>
            <w:r/>
            <w:r>
              <w:rPr>
                <w:rFonts w:ascii="Times New Roman" w:hAnsi="Times New Roman"/>
                <w:sz w:val="18"/>
              </w:rPr>
              <w:t>L2</w:t>
            </w:r>
          </w:p>
        </w:tc>
        <w:tc>
          <w:tcPr>
            <w:tcW w:type="dxa" w:w="2160"/>
          </w:tcPr>
          <w:p>
            <w:r/>
            <w:r>
              <w:rPr>
                <w:rFonts w:ascii="Times New Roman" w:hAnsi="Times New Roman"/>
                <w:sz w:val="18"/>
              </w:rPr>
              <w:t>Hosted build, signed provenance</w:t>
            </w:r>
          </w:p>
        </w:tc>
        <w:tc>
          <w:tcPr>
            <w:tcW w:type="dxa" w:w="5040"/>
          </w:tcPr>
          <w:p>
            <w:r/>
            <w:r>
              <w:rPr>
                <w:rFonts w:ascii="Times New Roman" w:hAnsi="Times New Roman"/>
                <w:sz w:val="18"/>
              </w:rPr>
              <w:t>Sidecar verifies K8s execution; Sigstore Cosign signatures</w:t>
            </w:r>
          </w:p>
        </w:tc>
      </w:tr>
      <w:tr>
        <w:tc>
          <w:tcPr>
            <w:tcW w:type="dxa" w:w="864"/>
          </w:tcPr>
          <w:p>
            <w:r/>
            <w:r>
              <w:rPr>
                <w:rFonts w:ascii="Times New Roman" w:hAnsi="Times New Roman"/>
                <w:sz w:val="18"/>
              </w:rPr>
              <w:t>L3</w:t>
            </w:r>
          </w:p>
        </w:tc>
        <w:tc>
          <w:tcPr>
            <w:tcW w:type="dxa" w:w="2160"/>
          </w:tcPr>
          <w:p>
            <w:r/>
            <w:r>
              <w:rPr>
                <w:rFonts w:ascii="Times New Roman" w:hAnsi="Times New Roman"/>
                <w:sz w:val="18"/>
              </w:rPr>
              <w:t>Hardened, ephemeral builds</w:t>
            </w:r>
          </w:p>
        </w:tc>
        <w:tc>
          <w:tcPr>
            <w:tcW w:type="dxa" w:w="5040"/>
          </w:tcPr>
          <w:p>
            <w:r/>
            <w:r>
              <w:rPr>
                <w:rFonts w:ascii="Times New Roman" w:hAnsi="Times New Roman"/>
                <w:sz w:val="18"/>
              </w:rPr>
              <w:t>Collector verifies ephemeral pods; all inputs hashed; signing keys isolated</w:t>
            </w:r>
          </w:p>
        </w:tc>
      </w:tr>
    </w:tbl>
    <w:p>
      <w:r>
        <w:rPr>
          <w:i/>
          <w:sz w:val="18"/>
        </w:rPr>
        <w:t>Table 4: SLSA level mapping to SecPipeAI capabilities.</w:t>
      </w:r>
    </w:p>
    <w:p>
      <w:pPr>
        <w:pStyle w:val="Heading2"/>
      </w:pPr>
      <w:r>
        <w:t>4.5 Security Properties</w:t>
      </w:r>
    </w:p>
    <w:p>
      <w:r>
        <w:rPr>
          <w:b/>
        </w:rPr>
        <w:t xml:space="preserve">SP1 (Known-threat detection): </w:t>
      </w:r>
      <w:r>
        <w:t>For each attack vector in Table 3, at least one detection component produces anomaly score exceeding τ when the attack executes in the evaluation environment.</w:t>
      </w:r>
    </w:p>
    <w:p>
      <w:r>
        <w:rPr>
          <w:b/>
        </w:rPr>
        <w:t xml:space="preserve">SP2 (Bounded false alarms): </w:t>
      </w:r>
      <w:r>
        <w:t>False positive rate on benign executions remains below 5% (configurable).</w:t>
      </w:r>
    </w:p>
    <w:p>
      <w:r>
        <w:rPr>
          <w:b/>
        </w:rPr>
        <w:t xml:space="preserve">SP3 (Provenance integrity): </w:t>
      </w:r>
      <w:r>
        <w:t>Artifact attestations are cryptographically signed and append-only; compromised pipeline steps cannot retroactively modify provenance.</w:t>
      </w:r>
    </w:p>
    <w:p>
      <w:r>
        <w:rPr>
          <w:b/>
        </w:rPr>
        <w:t xml:space="preserve">SP4 (Graduated response): </w:t>
      </w:r>
      <w:r>
        <w:t>Response never escalates beyond severity indicated by ensemble score.</w:t>
      </w:r>
    </w:p>
    <w:p>
      <w:r>
        <w:rPr>
          <w:b/>
        </w:rPr>
        <w:t xml:space="preserve">SP5 (Non-interference): </w:t>
      </w:r>
      <w:r>
        <w:t>The Collector’s monitoring does not alter the functional behavior of monitored pipeline steps (correctness preservation).</w:t>
      </w:r>
    </w:p>
    <w:p>
      <w:r>
        <w:br w:type="page"/>
      </w:r>
    </w:p>
    <w:p>
      <w:pPr>
        <w:pStyle w:val="Heading1"/>
      </w:pPr>
      <w:r>
        <w:t>5. Methodology</w:t>
      </w:r>
    </w:p>
    <w:p>
      <w:pPr>
        <w:pStyle w:val="Heading2"/>
      </w:pPr>
      <w:r>
        <w:t>5.1 Feature Engineering</w:t>
      </w:r>
    </w:p>
    <w:p>
      <w:r>
        <w:t>The detection engine operates on features extracted from raw telemetry through a multi-modal feature engineering pipeline, producing three feature categories (Definition 2): structured features F_s (resource statistics, event frequencies, timing anomalies, dependency hash match/mismatch flags, IaC violation counts), sequential features F_seq (time-ordered event embeddings in sliding windows), and provenance features F_p (SBOM completeness, base image age, CVE counts, SLSA attestation validity).</w:t>
      </w:r>
    </w:p>
    <w:p>
      <w:pPr>
        <w:pStyle w:val="Heading2"/>
      </w:pPr>
      <w:r>
        <w:t>5.2 XGBoost Configuration</w:t>
      </w:r>
    </w:p>
    <w:p>
      <w:r>
        <w:t>XGBoost hyperparameters are selected via Bayesian optimization (Optuna, 100 trials) on held-out validation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Parameter</w:t>
            </w:r>
          </w:p>
        </w:tc>
        <w:tc>
          <w:tcPr>
            <w:tcW w:type="dxa" w:w="2880"/>
            <w:shd w:fill="D9E2F3"/>
          </w:tcPr>
          <w:p>
            <w:pPr>
              <w:jc w:val="center"/>
            </w:pPr>
            <w:r/>
            <w:r>
              <w:rPr>
                <w:rFonts w:ascii="Times New Roman" w:hAnsi="Times New Roman"/>
                <w:b/>
                <w:sz w:val="18"/>
              </w:rPr>
              <w:t>Value</w:t>
            </w:r>
          </w:p>
        </w:tc>
        <w:tc>
          <w:tcPr>
            <w:tcW w:type="dxa" w:w="2880"/>
            <w:shd w:fill="D9E2F3"/>
          </w:tcPr>
          <w:p>
            <w:pPr>
              <w:jc w:val="center"/>
            </w:pPr>
            <w:r/>
            <w:r>
              <w:rPr>
                <w:rFonts w:ascii="Times New Roman" w:hAnsi="Times New Roman"/>
                <w:b/>
                <w:sz w:val="18"/>
              </w:rPr>
              <w:t>Search Range</w:t>
            </w:r>
          </w:p>
        </w:tc>
      </w:tr>
      <w:tr>
        <w:tc>
          <w:tcPr>
            <w:tcW w:type="dxa" w:w="2880"/>
          </w:tcPr>
          <w:p>
            <w:r/>
            <w:r>
              <w:rPr>
                <w:rFonts w:ascii="Times New Roman" w:hAnsi="Times New Roman"/>
                <w:sz w:val="18"/>
              </w:rPr>
              <w:t>n_estimators</w:t>
            </w:r>
          </w:p>
        </w:tc>
        <w:tc>
          <w:tcPr>
            <w:tcW w:type="dxa" w:w="2880"/>
          </w:tcPr>
          <w:p>
            <w:r/>
            <w:r>
              <w:rPr>
                <w:rFonts w:ascii="Times New Roman" w:hAnsi="Times New Roman"/>
                <w:sz w:val="18"/>
              </w:rPr>
              <w:t>500</w:t>
            </w:r>
          </w:p>
        </w:tc>
        <w:tc>
          <w:tcPr>
            <w:tcW w:type="dxa" w:w="2880"/>
          </w:tcPr>
          <w:p>
            <w:r/>
            <w:r>
              <w:rPr>
                <w:rFonts w:ascii="Times New Roman" w:hAnsi="Times New Roman"/>
                <w:sz w:val="18"/>
              </w:rPr>
              <w:t>[100, 1000]</w:t>
            </w:r>
          </w:p>
        </w:tc>
      </w:tr>
      <w:tr>
        <w:tc>
          <w:tcPr>
            <w:tcW w:type="dxa" w:w="2880"/>
          </w:tcPr>
          <w:p>
            <w:r/>
            <w:r>
              <w:rPr>
                <w:rFonts w:ascii="Times New Roman" w:hAnsi="Times New Roman"/>
                <w:sz w:val="18"/>
              </w:rPr>
              <w:t>max_depth</w:t>
            </w:r>
          </w:p>
        </w:tc>
        <w:tc>
          <w:tcPr>
            <w:tcW w:type="dxa" w:w="2880"/>
          </w:tcPr>
          <w:p>
            <w:r/>
            <w:r>
              <w:rPr>
                <w:rFonts w:ascii="Times New Roman" w:hAnsi="Times New Roman"/>
                <w:sz w:val="18"/>
              </w:rPr>
              <w:t>8</w:t>
            </w:r>
          </w:p>
        </w:tc>
        <w:tc>
          <w:tcPr>
            <w:tcW w:type="dxa" w:w="2880"/>
          </w:tcPr>
          <w:p>
            <w:r/>
            <w:r>
              <w:rPr>
                <w:rFonts w:ascii="Times New Roman" w:hAnsi="Times New Roman"/>
                <w:sz w:val="18"/>
              </w:rPr>
              <w:t>[4, 12]</w:t>
            </w:r>
          </w:p>
        </w:tc>
      </w:tr>
      <w:tr>
        <w:tc>
          <w:tcPr>
            <w:tcW w:type="dxa" w:w="2880"/>
          </w:tcPr>
          <w:p>
            <w:r/>
            <w:r>
              <w:rPr>
                <w:rFonts w:ascii="Times New Roman" w:hAnsi="Times New Roman"/>
                <w:sz w:val="18"/>
              </w:rPr>
              <w:t>learning_rate</w:t>
            </w:r>
          </w:p>
        </w:tc>
        <w:tc>
          <w:tcPr>
            <w:tcW w:type="dxa" w:w="2880"/>
          </w:tcPr>
          <w:p>
            <w:r/>
            <w:r>
              <w:rPr>
                <w:rFonts w:ascii="Times New Roman" w:hAnsi="Times New Roman"/>
                <w:sz w:val="18"/>
              </w:rPr>
              <w:t>0.05</w:t>
            </w:r>
          </w:p>
        </w:tc>
        <w:tc>
          <w:tcPr>
            <w:tcW w:type="dxa" w:w="2880"/>
          </w:tcPr>
          <w:p>
            <w:r/>
            <w:r>
              <w:rPr>
                <w:rFonts w:ascii="Times New Roman" w:hAnsi="Times New Roman"/>
                <w:sz w:val="18"/>
              </w:rPr>
              <w:t>[0.01, 0.3]</w:t>
            </w:r>
          </w:p>
        </w:tc>
      </w:tr>
      <w:tr>
        <w:tc>
          <w:tcPr>
            <w:tcW w:type="dxa" w:w="2880"/>
          </w:tcPr>
          <w:p>
            <w:r/>
            <w:r>
              <w:rPr>
                <w:rFonts w:ascii="Times New Roman" w:hAnsi="Times New Roman"/>
                <w:sz w:val="18"/>
              </w:rPr>
              <w:t>min_child_weight</w:t>
            </w:r>
          </w:p>
        </w:tc>
        <w:tc>
          <w:tcPr>
            <w:tcW w:type="dxa" w:w="2880"/>
          </w:tcPr>
          <w:p>
            <w:r/>
            <w:r>
              <w:rPr>
                <w:rFonts w:ascii="Times New Roman" w:hAnsi="Times New Roman"/>
                <w:sz w:val="18"/>
              </w:rPr>
              <w:t>5</w:t>
            </w:r>
          </w:p>
        </w:tc>
        <w:tc>
          <w:tcPr>
            <w:tcW w:type="dxa" w:w="2880"/>
          </w:tcPr>
          <w:p>
            <w:r/>
            <w:r>
              <w:rPr>
                <w:rFonts w:ascii="Times New Roman" w:hAnsi="Times New Roman"/>
                <w:sz w:val="18"/>
              </w:rPr>
              <w:t>[1, 10]</w:t>
            </w:r>
          </w:p>
        </w:tc>
      </w:tr>
      <w:tr>
        <w:tc>
          <w:tcPr>
            <w:tcW w:type="dxa" w:w="2880"/>
          </w:tcPr>
          <w:p>
            <w:r/>
            <w:r>
              <w:rPr>
                <w:rFonts w:ascii="Times New Roman" w:hAnsi="Times New Roman"/>
                <w:sz w:val="18"/>
              </w:rPr>
              <w:t>subsample</w:t>
            </w:r>
          </w:p>
        </w:tc>
        <w:tc>
          <w:tcPr>
            <w:tcW w:type="dxa" w:w="2880"/>
          </w:tcPr>
          <w:p>
            <w:r/>
            <w:r>
              <w:rPr>
                <w:rFonts w:ascii="Times New Roman" w:hAnsi="Times New Roman"/>
                <w:sz w:val="18"/>
              </w:rPr>
              <w:t>0.8</w:t>
            </w:r>
          </w:p>
        </w:tc>
        <w:tc>
          <w:tcPr>
            <w:tcW w:type="dxa" w:w="2880"/>
          </w:tcPr>
          <w:p>
            <w:r/>
            <w:r>
              <w:rPr>
                <w:rFonts w:ascii="Times New Roman" w:hAnsi="Times New Roman"/>
                <w:sz w:val="18"/>
              </w:rPr>
              <w:t>[0.6, 1.0]</w:t>
            </w:r>
          </w:p>
        </w:tc>
      </w:tr>
      <w:tr>
        <w:tc>
          <w:tcPr>
            <w:tcW w:type="dxa" w:w="2880"/>
          </w:tcPr>
          <w:p>
            <w:r/>
            <w:r>
              <w:rPr>
                <w:rFonts w:ascii="Times New Roman" w:hAnsi="Times New Roman"/>
                <w:sz w:val="18"/>
              </w:rPr>
              <w:t>colsample_bytree</w:t>
            </w:r>
          </w:p>
        </w:tc>
        <w:tc>
          <w:tcPr>
            <w:tcW w:type="dxa" w:w="2880"/>
          </w:tcPr>
          <w:p>
            <w:r/>
            <w:r>
              <w:rPr>
                <w:rFonts w:ascii="Times New Roman" w:hAnsi="Times New Roman"/>
                <w:sz w:val="18"/>
              </w:rPr>
              <w:t>0.8</w:t>
            </w:r>
          </w:p>
        </w:tc>
        <w:tc>
          <w:tcPr>
            <w:tcW w:type="dxa" w:w="2880"/>
          </w:tcPr>
          <w:p>
            <w:r/>
            <w:r>
              <w:rPr>
                <w:rFonts w:ascii="Times New Roman" w:hAnsi="Times New Roman"/>
                <w:sz w:val="18"/>
              </w:rPr>
              <w:t>[0.6, 1.0]</w:t>
            </w:r>
          </w:p>
        </w:tc>
      </w:tr>
      <w:tr>
        <w:tc>
          <w:tcPr>
            <w:tcW w:type="dxa" w:w="2880"/>
          </w:tcPr>
          <w:p>
            <w:r/>
            <w:r>
              <w:rPr>
                <w:rFonts w:ascii="Times New Roman" w:hAnsi="Times New Roman"/>
                <w:sz w:val="18"/>
              </w:rPr>
              <w:t>gamma</w:t>
            </w:r>
          </w:p>
        </w:tc>
        <w:tc>
          <w:tcPr>
            <w:tcW w:type="dxa" w:w="2880"/>
          </w:tcPr>
          <w:p>
            <w:r/>
            <w:r>
              <w:rPr>
                <w:rFonts w:ascii="Times New Roman" w:hAnsi="Times New Roman"/>
                <w:sz w:val="18"/>
              </w:rPr>
              <w:t>0.1</w:t>
            </w:r>
          </w:p>
        </w:tc>
        <w:tc>
          <w:tcPr>
            <w:tcW w:type="dxa" w:w="2880"/>
          </w:tcPr>
          <w:p>
            <w:r/>
            <w:r>
              <w:rPr>
                <w:rFonts w:ascii="Times New Roman" w:hAnsi="Times New Roman"/>
                <w:sz w:val="18"/>
              </w:rPr>
              <w:t>[0, 0.5]</w:t>
            </w:r>
          </w:p>
        </w:tc>
      </w:tr>
      <w:tr>
        <w:tc>
          <w:tcPr>
            <w:tcW w:type="dxa" w:w="2880"/>
          </w:tcPr>
          <w:p>
            <w:r/>
            <w:r>
              <w:rPr>
                <w:rFonts w:ascii="Times New Roman" w:hAnsi="Times New Roman"/>
                <w:sz w:val="18"/>
              </w:rPr>
              <w:t>reg_lambda (L2)</w:t>
            </w:r>
          </w:p>
        </w:tc>
        <w:tc>
          <w:tcPr>
            <w:tcW w:type="dxa" w:w="2880"/>
          </w:tcPr>
          <w:p>
            <w:r/>
            <w:r>
              <w:rPr>
                <w:rFonts w:ascii="Times New Roman" w:hAnsi="Times New Roman"/>
                <w:sz w:val="18"/>
              </w:rPr>
              <w:t>1.0</w:t>
            </w:r>
          </w:p>
        </w:tc>
        <w:tc>
          <w:tcPr>
            <w:tcW w:type="dxa" w:w="2880"/>
          </w:tcPr>
          <w:p>
            <w:r/>
            <w:r>
              <w:rPr>
                <w:rFonts w:ascii="Times New Roman" w:hAnsi="Times New Roman"/>
                <w:sz w:val="18"/>
              </w:rPr>
              <w:t>[0.5, 5.0]</w:t>
            </w:r>
          </w:p>
        </w:tc>
      </w:tr>
      <w:tr>
        <w:tc>
          <w:tcPr>
            <w:tcW w:type="dxa" w:w="2880"/>
          </w:tcPr>
          <w:p>
            <w:r/>
            <w:r>
              <w:rPr>
                <w:rFonts w:ascii="Times New Roman" w:hAnsi="Times New Roman"/>
                <w:sz w:val="18"/>
              </w:rPr>
              <w:t>scale_pos_weight</w:t>
            </w:r>
          </w:p>
        </w:tc>
        <w:tc>
          <w:tcPr>
            <w:tcW w:type="dxa" w:w="2880"/>
          </w:tcPr>
          <w:p>
            <w:r/>
            <w:r>
              <w:rPr>
                <w:rFonts w:ascii="Times New Roman" w:hAnsi="Times New Roman"/>
                <w:sz w:val="18"/>
              </w:rPr>
              <w:t>Computed per dataset</w:t>
            </w:r>
          </w:p>
        </w:tc>
        <w:tc>
          <w:tcPr>
            <w:tcW w:type="dxa" w:w="2880"/>
          </w:tcPr>
          <w:p>
            <w:r/>
            <w:r>
              <w:rPr>
                <w:rFonts w:ascii="Times New Roman" w:hAnsi="Times New Roman"/>
                <w:sz w:val="18"/>
              </w:rPr>
              <w:t>Class ratio</w:t>
            </w:r>
          </w:p>
        </w:tc>
      </w:tr>
    </w:tbl>
    <w:p>
      <w:r>
        <w:rPr>
          <w:i/>
          <w:sz w:val="18"/>
        </w:rPr>
        <w:t>Table 5: XGBoost hyperparameters. Final values reported after Optuna optimization.</w:t>
      </w:r>
    </w:p>
    <w:p>
      <w:pPr>
        <w:pStyle w:val="Heading2"/>
      </w:pPr>
      <w:r>
        <w:t>5.3 LSTM-Autoencoder Architecture</w:t>
      </w:r>
    </w:p>
    <w:p>
      <w:r>
        <w:t>The LSTM-AE consists of an encoder-decoder pair:</w:t>
      </w:r>
    </w:p>
    <w:p>
      <w:pPr>
        <w:ind w:left="432"/>
      </w:pPr>
      <w:r>
        <w:t>• Encoder: 2-layer bidirectional LSTM, hidden dim 128, input length 50, dropout 0.3.</w:t>
      </w:r>
    </w:p>
    <w:p>
      <w:pPr>
        <w:ind w:left="432"/>
      </w:pPr>
      <w:r>
        <w:t>• Bottleneck: Dense layer projecting to 32-dim latent space.</w:t>
      </w:r>
    </w:p>
    <w:p>
      <w:pPr>
        <w:ind w:left="432"/>
      </w:pPr>
      <w:r>
        <w:t>• Decoder: 2-layer LSTM, hidden dim 128, reconstructing input sequence.</w:t>
      </w:r>
    </w:p>
    <w:p>
      <w:pPr>
        <w:ind w:left="432"/>
      </w:pPr>
      <w:r>
        <w:t>• Loss: Mean Squared Error between input and reconstruction.</w:t>
      </w:r>
    </w:p>
    <w:p>
      <w:pPr>
        <w:ind w:left="432"/>
      </w:pPr>
      <w:r>
        <w:t>• Anomaly threshold: 95th percentile of training reconstruction error.</w:t>
      </w:r>
    </w:p>
    <w:p>
      <w:pPr>
        <w:ind w:left="432"/>
      </w:pPr>
      <w:r>
        <w:t>• Optimizer: Adam, lr=0.001, weight decay=1e-5.</w:t>
      </w:r>
    </w:p>
    <w:p>
      <w:pPr>
        <w:ind w:left="432"/>
      </w:pPr>
      <w:r>
        <w:t>• Training: 100 epochs, early stopping patience=10 on validation reconstruction error.</w:t>
      </w:r>
    </w:p>
    <w:p>
      <w:pPr>
        <w:pStyle w:val="Heading2"/>
      </w:pPr>
      <w:r>
        <w:t>5.4 Ensemble Integration</w:t>
      </w:r>
    </w:p>
    <w:p>
      <w:r>
        <w:t>The ensemble weight α and threshold τ are jointly optimized via grid search on 15% held-out validation data (within each training fold), selecting the (α, τ) pair maximizing F1 subject to FAR &lt; 5%. This optimization runs independently per dataset.</w:t>
      </w:r>
    </w:p>
    <w:p>
      <w:r>
        <w:br w:type="page"/>
      </w:r>
    </w:p>
    <w:p>
      <w:pPr>
        <w:pStyle w:val="Heading1"/>
      </w:pPr>
      <w:r>
        <w:t>6. Experimental Design</w:t>
      </w:r>
    </w:p>
    <w:p>
      <w:r>
        <w:t>This section specifies the complete evaluation protocol. At the time of submission, this protocol is fully defined and reproducibility artifacts are prepared; experimental execution is in progress. Results will be populated in the camera-ready version. We present this protocol in full detail to enable reviewer assessment of methodological rigor independent of results.</w:t>
      </w:r>
    </w:p>
    <w:p>
      <w:pPr>
        <w:pStyle w:val="Heading2"/>
      </w:pPr>
      <w:r>
        <w:t>6.1 Dataset Selection and Proxy Justification</w:t>
      </w:r>
    </w:p>
    <w:p>
      <w:r>
        <w:t>No publicly available CI/CD pipeline security telemetry dataset exists as of early 2026. Rather than fabricate a proprietary dataset or claim results on non-existent data, we adopt a principled proxy evaluation strategy: we select three public datasets that each map to a specific telemetry modality within our framework, and we explicitly document which aspects of pipeline security each dataset can and cannot evaluate.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52"/>
            <w:shd w:fill="D9E2F3"/>
          </w:tcPr>
          <w:p>
            <w:pPr>
              <w:jc w:val="center"/>
            </w:pPr>
            <w:r/>
            <w:r>
              <w:rPr>
                <w:rFonts w:ascii="Times New Roman" w:hAnsi="Times New Roman"/>
                <w:b/>
                <w:sz w:val="18"/>
              </w:rPr>
              <w:t>Dataset</w:t>
            </w:r>
          </w:p>
        </w:tc>
        <w:tc>
          <w:tcPr>
            <w:tcW w:type="dxa" w:w="1008"/>
            <w:shd w:fill="D9E2F3"/>
          </w:tcPr>
          <w:p>
            <w:pPr>
              <w:jc w:val="center"/>
            </w:pPr>
            <w:r/>
            <w:r>
              <w:rPr>
                <w:rFonts w:ascii="Times New Roman" w:hAnsi="Times New Roman"/>
                <w:b/>
                <w:sz w:val="18"/>
              </w:rPr>
              <w:t>Records</w:t>
            </w:r>
          </w:p>
        </w:tc>
        <w:tc>
          <w:tcPr>
            <w:tcW w:type="dxa" w:w="1728"/>
            <w:shd w:fill="D9E2F3"/>
          </w:tcPr>
          <w:p>
            <w:pPr>
              <w:jc w:val="center"/>
            </w:pPr>
            <w:r/>
            <w:r>
              <w:rPr>
                <w:rFonts w:ascii="Times New Roman" w:hAnsi="Times New Roman"/>
                <w:b/>
                <w:sz w:val="18"/>
              </w:rPr>
              <w:t>Features</w:t>
            </w:r>
          </w:p>
        </w:tc>
        <w:tc>
          <w:tcPr>
            <w:tcW w:type="dxa" w:w="1296"/>
            <w:shd w:fill="D9E2F3"/>
          </w:tcPr>
          <w:p>
            <w:pPr>
              <w:jc w:val="center"/>
            </w:pPr>
            <w:r/>
            <w:r>
              <w:rPr>
                <w:rFonts w:ascii="Times New Roman" w:hAnsi="Times New Roman"/>
                <w:b/>
                <w:sz w:val="18"/>
              </w:rPr>
              <w:t>Attack Types</w:t>
            </w:r>
          </w:p>
        </w:tc>
        <w:tc>
          <w:tcPr>
            <w:tcW w:type="dxa" w:w="1008"/>
            <w:shd w:fill="D9E2F3"/>
          </w:tcPr>
          <w:p>
            <w:pPr>
              <w:jc w:val="center"/>
            </w:pPr>
            <w:r/>
            <w:r>
              <w:rPr>
                <w:rFonts w:ascii="Times New Roman" w:hAnsi="Times New Roman"/>
                <w:b/>
                <w:sz w:val="18"/>
              </w:rPr>
              <w:t>Benign %</w:t>
            </w:r>
          </w:p>
        </w:tc>
        <w:tc>
          <w:tcPr>
            <w:tcW w:type="dxa" w:w="576"/>
            <w:shd w:fill="D9E2F3"/>
          </w:tcPr>
          <w:p>
            <w:pPr>
              <w:jc w:val="center"/>
            </w:pPr>
            <w:r/>
            <w:r>
              <w:rPr>
                <w:rFonts w:ascii="Times New Roman" w:hAnsi="Times New Roman"/>
                <w:b/>
                <w:sz w:val="18"/>
              </w:rPr>
              <w:t>Year</w:t>
            </w:r>
          </w:p>
        </w:tc>
        <w:tc>
          <w:tcPr>
            <w:tcW w:type="dxa" w:w="1296"/>
            <w:shd w:fill="D9E2F3"/>
          </w:tcPr>
          <w:p>
            <w:pPr>
              <w:jc w:val="center"/>
            </w:pPr>
            <w:r/>
            <w:r>
              <w:rPr>
                <w:rFonts w:ascii="Times New Roman" w:hAnsi="Times New Roman"/>
                <w:b/>
                <w:sz w:val="18"/>
              </w:rPr>
              <w:t>Access</w:t>
            </w:r>
          </w:p>
        </w:tc>
      </w:tr>
      <w:tr>
        <w:tc>
          <w:tcPr>
            <w:tcW w:type="dxa" w:w="1152"/>
          </w:tcPr>
          <w:p>
            <w:r/>
            <w:r>
              <w:rPr>
                <w:rFonts w:ascii="Times New Roman" w:hAnsi="Times New Roman"/>
                <w:sz w:val="18"/>
              </w:rPr>
              <w:t>CICIDS2017</w:t>
            </w:r>
          </w:p>
        </w:tc>
        <w:tc>
          <w:tcPr>
            <w:tcW w:type="dxa" w:w="1008"/>
          </w:tcPr>
          <w:p>
            <w:r/>
            <w:r>
              <w:rPr>
                <w:rFonts w:ascii="Times New Roman" w:hAnsi="Times New Roman"/>
                <w:sz w:val="18"/>
              </w:rPr>
              <w:t>2,830,743</w:t>
            </w:r>
          </w:p>
        </w:tc>
        <w:tc>
          <w:tcPr>
            <w:tcW w:type="dxa" w:w="1728"/>
          </w:tcPr>
          <w:p>
            <w:r/>
            <w:r>
              <w:rPr>
                <w:rFonts w:ascii="Times New Roman" w:hAnsi="Times New Roman"/>
                <w:sz w:val="18"/>
              </w:rPr>
              <w:t>78 numeric</w:t>
            </w:r>
          </w:p>
        </w:tc>
        <w:tc>
          <w:tcPr>
            <w:tcW w:type="dxa" w:w="1296"/>
          </w:tcPr>
          <w:p>
            <w:r/>
            <w:r>
              <w:rPr>
                <w:rFonts w:ascii="Times New Roman" w:hAnsi="Times New Roman"/>
                <w:sz w:val="18"/>
              </w:rPr>
              <w:t>7 families</w:t>
            </w:r>
          </w:p>
        </w:tc>
        <w:tc>
          <w:tcPr>
            <w:tcW w:type="dxa" w:w="1008"/>
          </w:tcPr>
          <w:p>
            <w:r/>
            <w:r>
              <w:rPr>
                <w:rFonts w:ascii="Times New Roman" w:hAnsi="Times New Roman"/>
                <w:sz w:val="18"/>
              </w:rPr>
              <w:t>80.3%</w:t>
            </w:r>
          </w:p>
        </w:tc>
        <w:tc>
          <w:tcPr>
            <w:tcW w:type="dxa" w:w="576"/>
          </w:tcPr>
          <w:p>
            <w:r/>
            <w:r>
              <w:rPr>
                <w:rFonts w:ascii="Times New Roman" w:hAnsi="Times New Roman"/>
                <w:sz w:val="18"/>
              </w:rPr>
              <w:t>2017</w:t>
            </w:r>
          </w:p>
        </w:tc>
        <w:tc>
          <w:tcPr>
            <w:tcW w:type="dxa" w:w="1296"/>
          </w:tcPr>
          <w:p>
            <w:r/>
            <w:r>
              <w:rPr>
                <w:rFonts w:ascii="Times New Roman" w:hAnsi="Times New Roman"/>
                <w:sz w:val="18"/>
              </w:rPr>
              <w:t>UNB CIC (open)</w:t>
            </w:r>
          </w:p>
        </w:tc>
      </w:tr>
      <w:tr>
        <w:tc>
          <w:tcPr>
            <w:tcW w:type="dxa" w:w="1152"/>
          </w:tcPr>
          <w:p>
            <w:r/>
            <w:r>
              <w:rPr>
                <w:rFonts w:ascii="Times New Roman" w:hAnsi="Times New Roman"/>
                <w:sz w:val="18"/>
              </w:rPr>
              <w:t>UNSW-NB15</w:t>
            </w:r>
          </w:p>
        </w:tc>
        <w:tc>
          <w:tcPr>
            <w:tcW w:type="dxa" w:w="1008"/>
          </w:tcPr>
          <w:p>
            <w:r/>
            <w:r>
              <w:rPr>
                <w:rFonts w:ascii="Times New Roman" w:hAnsi="Times New Roman"/>
                <w:sz w:val="18"/>
              </w:rPr>
              <w:t>2,540,044</w:t>
            </w:r>
          </w:p>
        </w:tc>
        <w:tc>
          <w:tcPr>
            <w:tcW w:type="dxa" w:w="1728"/>
          </w:tcPr>
          <w:p>
            <w:r/>
            <w:r>
              <w:rPr>
                <w:rFonts w:ascii="Times New Roman" w:hAnsi="Times New Roman"/>
                <w:sz w:val="18"/>
              </w:rPr>
              <w:t>49 (46 numeric + 3 cat.)</w:t>
            </w:r>
          </w:p>
        </w:tc>
        <w:tc>
          <w:tcPr>
            <w:tcW w:type="dxa" w:w="1296"/>
          </w:tcPr>
          <w:p>
            <w:r/>
            <w:r>
              <w:rPr>
                <w:rFonts w:ascii="Times New Roman" w:hAnsi="Times New Roman"/>
                <w:sz w:val="18"/>
              </w:rPr>
              <w:t>9 categories</w:t>
            </w:r>
          </w:p>
        </w:tc>
        <w:tc>
          <w:tcPr>
            <w:tcW w:type="dxa" w:w="1008"/>
          </w:tcPr>
          <w:p>
            <w:r/>
            <w:r>
              <w:rPr>
                <w:rFonts w:ascii="Times New Roman" w:hAnsi="Times New Roman"/>
                <w:sz w:val="18"/>
              </w:rPr>
              <w:t>68.1%</w:t>
            </w:r>
          </w:p>
        </w:tc>
        <w:tc>
          <w:tcPr>
            <w:tcW w:type="dxa" w:w="576"/>
          </w:tcPr>
          <w:p>
            <w:r/>
            <w:r>
              <w:rPr>
                <w:rFonts w:ascii="Times New Roman" w:hAnsi="Times New Roman"/>
                <w:sz w:val="18"/>
              </w:rPr>
              <w:t>2015</w:t>
            </w:r>
          </w:p>
        </w:tc>
        <w:tc>
          <w:tcPr>
            <w:tcW w:type="dxa" w:w="1296"/>
          </w:tcPr>
          <w:p>
            <w:r/>
            <w:r>
              <w:rPr>
                <w:rFonts w:ascii="Times New Roman" w:hAnsi="Times New Roman"/>
                <w:sz w:val="18"/>
              </w:rPr>
              <w:t>UNSW (open)</w:t>
            </w:r>
          </w:p>
        </w:tc>
      </w:tr>
      <w:tr>
        <w:tc>
          <w:tcPr>
            <w:tcW w:type="dxa" w:w="1152"/>
          </w:tcPr>
          <w:p>
            <w:r/>
            <w:r>
              <w:rPr>
                <w:rFonts w:ascii="Times New Roman" w:hAnsi="Times New Roman"/>
                <w:sz w:val="18"/>
              </w:rPr>
              <w:t>BETH</w:t>
            </w:r>
          </w:p>
        </w:tc>
        <w:tc>
          <w:tcPr>
            <w:tcW w:type="dxa" w:w="1008"/>
          </w:tcPr>
          <w:p>
            <w:r/>
            <w:r>
              <w:rPr>
                <w:rFonts w:ascii="Times New Roman" w:hAnsi="Times New Roman"/>
                <w:sz w:val="18"/>
              </w:rPr>
              <w:t>1,141,078</w:t>
            </w:r>
          </w:p>
        </w:tc>
        <w:tc>
          <w:tcPr>
            <w:tcW w:type="dxa" w:w="1728"/>
          </w:tcPr>
          <w:p>
            <w:r/>
            <w:r>
              <w:rPr>
                <w:rFonts w:ascii="Times New Roman" w:hAnsi="Times New Roman"/>
                <w:sz w:val="18"/>
              </w:rPr>
              <w:t>14 (6–8 usable numeric)</w:t>
            </w:r>
          </w:p>
        </w:tc>
        <w:tc>
          <w:tcPr>
            <w:tcW w:type="dxa" w:w="1296"/>
          </w:tcPr>
          <w:p>
            <w:r/>
            <w:r>
              <w:rPr>
                <w:rFonts w:ascii="Times New Roman" w:hAnsi="Times New Roman"/>
                <w:sz w:val="18"/>
              </w:rPr>
              <w:t>Botnet (1 type)</w:t>
            </w:r>
          </w:p>
        </w:tc>
        <w:tc>
          <w:tcPr>
            <w:tcW w:type="dxa" w:w="1008"/>
          </w:tcPr>
          <w:p>
            <w:r/>
            <w:r>
              <w:rPr>
                <w:rFonts w:ascii="Times New Roman" w:hAnsi="Times New Roman"/>
                <w:sz w:val="18"/>
              </w:rPr>
              <w:t>Training: 99.8%</w:t>
            </w:r>
          </w:p>
        </w:tc>
        <w:tc>
          <w:tcPr>
            <w:tcW w:type="dxa" w:w="576"/>
          </w:tcPr>
          <w:p>
            <w:r/>
            <w:r>
              <w:rPr>
                <w:rFonts w:ascii="Times New Roman" w:hAnsi="Times New Roman"/>
                <w:sz w:val="18"/>
              </w:rPr>
              <w:t>2021</w:t>
            </w:r>
          </w:p>
        </w:tc>
        <w:tc>
          <w:tcPr>
            <w:tcW w:type="dxa" w:w="1296"/>
          </w:tcPr>
          <w:p>
            <w:r/>
            <w:r>
              <w:rPr>
                <w:rFonts w:ascii="Times New Roman" w:hAnsi="Times New Roman"/>
                <w:sz w:val="18"/>
              </w:rPr>
              <w:t>Kaggle (open)</w:t>
            </w:r>
          </w:p>
        </w:tc>
      </w:tr>
    </w:tbl>
    <w:p>
      <w:r>
        <w:rPr>
          <w:i/>
          <w:sz w:val="18"/>
        </w:rPr>
        <w:t>Table 6: Datasets used for evaluation. All are publicly available with stable download URLs.</w:t>
      </w:r>
    </w:p>
    <w:p>
      <w:pPr>
        <w:pStyle w:val="Heading3"/>
      </w:pPr>
      <w:r>
        <w:t>6.1.1 Proxy Mapping</w:t>
      </w:r>
    </w:p>
    <w:p>
      <w:r>
        <w:t>Table 7 maps each dataset to the SecPipeAI telemetry modality it proxies and explicitly states what it cannot evaluate.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D9E2F3"/>
          </w:tcPr>
          <w:p>
            <w:pPr>
              <w:jc w:val="center"/>
            </w:pPr>
            <w:r/>
            <w:r>
              <w:rPr>
                <w:rFonts w:ascii="Times New Roman" w:hAnsi="Times New Roman"/>
                <w:b/>
                <w:sz w:val="18"/>
              </w:rPr>
              <w:t>Dataset</w:t>
            </w:r>
          </w:p>
        </w:tc>
        <w:tc>
          <w:tcPr>
            <w:tcW w:type="dxa" w:w="2160"/>
            <w:shd w:fill="D9E2F3"/>
          </w:tcPr>
          <w:p>
            <w:pPr>
              <w:jc w:val="center"/>
            </w:pPr>
            <w:r/>
            <w:r>
              <w:rPr>
                <w:rFonts w:ascii="Times New Roman" w:hAnsi="Times New Roman"/>
                <w:b/>
                <w:sz w:val="18"/>
              </w:rPr>
              <w:t>Proxies For</w:t>
            </w:r>
          </w:p>
        </w:tc>
        <w:tc>
          <w:tcPr>
            <w:tcW w:type="dxa" w:w="2160"/>
            <w:shd w:fill="D9E2F3"/>
          </w:tcPr>
          <w:p>
            <w:pPr>
              <w:jc w:val="center"/>
            </w:pPr>
            <w:r/>
            <w:r>
              <w:rPr>
                <w:rFonts w:ascii="Times New Roman" w:hAnsi="Times New Roman"/>
                <w:b/>
                <w:sz w:val="18"/>
              </w:rPr>
              <w:t>Relevant Features</w:t>
            </w:r>
          </w:p>
        </w:tc>
        <w:tc>
          <w:tcPr>
            <w:tcW w:type="dxa" w:w="2736"/>
            <w:shd w:fill="D9E2F3"/>
          </w:tcPr>
          <w:p>
            <w:pPr>
              <w:jc w:val="center"/>
            </w:pPr>
            <w:r/>
            <w:r>
              <w:rPr>
                <w:rFonts w:ascii="Times New Roman" w:hAnsi="Times New Roman"/>
                <w:b/>
                <w:sz w:val="18"/>
              </w:rPr>
              <w:t>Cannot Evaluate</w:t>
            </w:r>
          </w:p>
        </w:tc>
      </w:tr>
      <w:tr>
        <w:tc>
          <w:tcPr>
            <w:tcW w:type="dxa" w:w="1008"/>
          </w:tcPr>
          <w:p>
            <w:r/>
            <w:r>
              <w:rPr>
                <w:rFonts w:ascii="Times New Roman" w:hAnsi="Times New Roman"/>
                <w:sz w:val="18"/>
              </w:rPr>
              <w:t>CICIDS2017</w:t>
            </w:r>
          </w:p>
        </w:tc>
        <w:tc>
          <w:tcPr>
            <w:tcW w:type="dxa" w:w="2160"/>
          </w:tcPr>
          <w:p>
            <w:r/>
            <w:r>
              <w:rPr>
                <w:rFonts w:ascii="Times New Roman" w:hAnsi="Times New Roman"/>
                <w:sz w:val="18"/>
              </w:rPr>
              <w:t>Network telemetry from pipeline stages (F_s: network I/O metrics)</w:t>
            </w:r>
          </w:p>
        </w:tc>
        <w:tc>
          <w:tcPr>
            <w:tcW w:type="dxa" w:w="2160"/>
          </w:tcPr>
          <w:p>
            <w:r/>
            <w:r>
              <w:rPr>
                <w:rFonts w:ascii="Times New Roman" w:hAnsi="Times New Roman"/>
                <w:sz w:val="18"/>
              </w:rPr>
              <w:t>Flow duration, packet counts, byte volumes, flag distributions, inter-arrival times</w:t>
            </w:r>
          </w:p>
        </w:tc>
        <w:tc>
          <w:tcPr>
            <w:tcW w:type="dxa" w:w="2736"/>
          </w:tcPr>
          <w:p>
            <w:r/>
            <w:r>
              <w:rPr>
                <w:rFonts w:ascii="Times New Roman" w:hAnsi="Times New Roman"/>
                <w:sz w:val="18"/>
              </w:rPr>
              <w:t>Build logs, IaC diffs, artifact provenance, stage transitions</w:t>
            </w:r>
          </w:p>
        </w:tc>
      </w:tr>
      <w:tr>
        <w:tc>
          <w:tcPr>
            <w:tcW w:type="dxa" w:w="1008"/>
          </w:tcPr>
          <w:p>
            <w:r/>
            <w:r>
              <w:rPr>
                <w:rFonts w:ascii="Times New Roman" w:hAnsi="Times New Roman"/>
                <w:sz w:val="18"/>
              </w:rPr>
              <w:t>UNSW-NB15</w:t>
            </w:r>
          </w:p>
        </w:tc>
        <w:tc>
          <w:tcPr>
            <w:tcW w:type="dxa" w:w="2160"/>
          </w:tcPr>
          <w:p>
            <w:r/>
            <w:r>
              <w:rPr>
                <w:rFonts w:ascii="Times New Roman" w:hAnsi="Times New Roman"/>
                <w:sz w:val="18"/>
              </w:rPr>
              <w:t>Diverse attack taxonomy generalization; cross-protocol coverage (F_s)</w:t>
            </w:r>
          </w:p>
        </w:tc>
        <w:tc>
          <w:tcPr>
            <w:tcW w:type="dxa" w:w="2160"/>
          </w:tcPr>
          <w:p>
            <w:r/>
            <w:r>
              <w:rPr>
                <w:rFonts w:ascii="Times New Roman" w:hAnsi="Times New Roman"/>
                <w:sz w:val="18"/>
              </w:rPr>
              <w:t>Duration, protocol, service, 13 flow-level features, 9 content features</w:t>
            </w:r>
          </w:p>
        </w:tc>
        <w:tc>
          <w:tcPr>
            <w:tcW w:type="dxa" w:w="2736"/>
          </w:tcPr>
          <w:p>
            <w:r/>
            <w:r>
              <w:rPr>
                <w:rFonts w:ascii="Times New Roman" w:hAnsi="Times New Roman"/>
                <w:sz w:val="18"/>
              </w:rPr>
              <w:t>Container-specific events, K8s API calls, supply chain signals</w:t>
            </w:r>
          </w:p>
        </w:tc>
      </w:tr>
      <w:tr>
        <w:tc>
          <w:tcPr>
            <w:tcW w:type="dxa" w:w="1008"/>
          </w:tcPr>
          <w:p>
            <w:r/>
            <w:r>
              <w:rPr>
                <w:rFonts w:ascii="Times New Roman" w:hAnsi="Times New Roman"/>
                <w:sz w:val="18"/>
              </w:rPr>
              <w:t>BETH</w:t>
            </w:r>
          </w:p>
        </w:tc>
        <w:tc>
          <w:tcPr>
            <w:tcW w:type="dxa" w:w="2160"/>
          </w:tcPr>
          <w:p>
            <w:r/>
            <w:r>
              <w:rPr>
                <w:rFonts w:ascii="Times New Roman" w:hAnsi="Times New Roman"/>
                <w:sz w:val="18"/>
              </w:rPr>
              <w:t>Host-level process telemetry in cloud containers (F_seq: process lifecycle)</w:t>
            </w:r>
          </w:p>
        </w:tc>
        <w:tc>
          <w:tcPr>
            <w:tcW w:type="dxa" w:w="2160"/>
          </w:tcPr>
          <w:p>
            <w:r/>
            <w:r>
              <w:rPr>
                <w:rFonts w:ascii="Times New Roman" w:hAnsi="Times New Roman"/>
                <w:sz w:val="18"/>
              </w:rPr>
              <w:t>processId, userId, mountNamespace, eventName, returnValue from eBPF sensors</w:t>
            </w:r>
          </w:p>
        </w:tc>
        <w:tc>
          <w:tcPr>
            <w:tcW w:type="dxa" w:w="2736"/>
          </w:tcPr>
          <w:p>
            <w:r/>
            <w:r>
              <w:rPr>
                <w:rFonts w:ascii="Times New Roman" w:hAnsi="Times New Roman"/>
                <w:sz w:val="18"/>
              </w:rPr>
              <w:t>Network traffic, file I/O, registry pulls, orchestration events</w:t>
            </w:r>
          </w:p>
        </w:tc>
      </w:tr>
    </w:tbl>
    <w:p>
      <w:r>
        <w:rPr>
          <w:i/>
          <w:sz w:val="18"/>
        </w:rPr>
        <w:t>Table 7: Proxy justification mapping. Each dataset validates a specific subset of SecPipeAI capabilities.</w:t>
      </w:r>
    </w:p>
    <w:p>
      <w:r>
        <w:rPr>
          <w:b/>
        </w:rPr>
        <w:t xml:space="preserve">Justification for BETH: </w:t>
      </w:r>
      <w:r>
        <w:t>BETH (Highnam et al., ICML UDL Workshop 2021; CAMLIS 2021) was collected from 23 cloud-hosted Linux honeypots using eBPF sensors inside Docker containers—the same monitoring technology (eBPF) underlying production Kubernetes security tools Falco and Tetragon. Its process lifecycle features (create/clone/kill system calls) directly parallel the telemetry a sidecar Collector would observe during pipeline step execution. The dataset captures real (non-synthetic) attack behavior from a botnet compromise. Limitations include: single attack type, narrow syscall coverage (3 types only), single cloud provider, ~5 hours duration. We use BETH to validate the LSTM-AE component on sequential process telemetry, not as a comprehensive pipeline security evaluation.</w:t>
      </w:r>
    </w:p>
    <w:p>
      <w:pPr>
        <w:pStyle w:val="Heading2"/>
      </w:pPr>
      <w:r>
        <w:t>6.2 Data Preprocessing</w:t>
      </w:r>
    </w:p>
    <w:p>
      <w:r>
        <w:t>Preprocessing follows a standardized protocol designed to prevent data leakage, following the pitfalls cataloged by Arp et al. (USENIX Security 2022) and the SMOTE-before-split warning by Bouke and Abdullah (Expert Systems with Applications, 2023).</w:t>
      </w:r>
    </w:p>
    <w:p>
      <w:pPr>
        <w:pStyle w:val="Heading3"/>
      </w:pPr>
      <w:r>
        <w:t>6.2.1 CICIDS2017 Preprocessing</w:t>
      </w:r>
    </w:p>
    <w:p>
      <w:pPr>
        <w:ind w:left="432"/>
      </w:pPr>
      <w:r>
        <w:t>• Drop columns: Flow ID, Src IP, Dst IP, Src Port, Timestamp (leakage sources per Engelen et al., 2021).</w:t>
      </w:r>
    </w:p>
    <w:p>
      <w:pPr>
        <w:ind w:left="432"/>
      </w:pPr>
      <w:r>
        <w:t>• Replace ±infinity with NaN in Flow Bytes/s and Flow Packets/s (~2,867 rows affected).</w:t>
      </w:r>
    </w:p>
    <w:p>
      <w:pPr>
        <w:ind w:left="432"/>
      </w:pPr>
      <w:r>
        <w:t>• Drop rows with NaN values (negligible loss from 2.83M records).</w:t>
      </w:r>
    </w:p>
    <w:p>
      <w:pPr>
        <w:ind w:left="432"/>
      </w:pPr>
      <w:r>
        <w:t>• Remove 308,381 duplicate rows identified by exact feature matching.</w:t>
      </w:r>
    </w:p>
    <w:p>
      <w:pPr>
        <w:ind w:left="432"/>
      </w:pPr>
      <w:r>
        <w:t>• Remove zero-variance features (computed on training data only).</w:t>
      </w:r>
    </w:p>
    <w:p>
      <w:pPr>
        <w:ind w:left="432"/>
      </w:pPr>
      <w:r>
        <w:t>• Group 15 label classes into 8 attack families + benign for multi-class; binary = benign vs. attack.</w:t>
      </w:r>
    </w:p>
    <w:p>
      <w:pPr>
        <w:ind w:left="432"/>
      </w:pPr>
      <w:r>
        <w:t>• Normalization: RobustScaler (robust to outliers). Fit on training fold ONLY, transform test fold.</w:t>
      </w:r>
    </w:p>
    <w:p>
      <w:pPr>
        <w:ind w:left="432"/>
      </w:pPr>
      <w:r>
        <w:t>• SMOTE: Applied within each training fold ONLY, k_neighbors=5. Test folds retain original distribution.</w:t>
      </w:r>
    </w:p>
    <w:p>
      <w:pPr>
        <w:pStyle w:val="Heading3"/>
      </w:pPr>
      <w:r>
        <w:t>6.2.2 UNSW-NB15 Preprocessing</w:t>
      </w:r>
    </w:p>
    <w:p>
      <w:pPr>
        <w:ind w:left="432"/>
      </w:pPr>
      <w:r>
        <w:t>• Drop columns: srcip, sport, dstip, dsport, stime, ltime, id.</w:t>
      </w:r>
    </w:p>
    <w:p>
      <w:pPr>
        <w:ind w:left="432"/>
      </w:pPr>
      <w:r>
        <w:t>• Encode categorical features (proto, service, state): label encoding for tree models; one-hot for neural.</w:t>
      </w:r>
    </w:p>
    <w:p>
      <w:pPr>
        <w:ind w:left="432"/>
      </w:pPr>
      <w:r>
        <w:t>• RobustScaler normalization, fit on training fold only.</w:t>
      </w:r>
    </w:p>
    <w:p>
      <w:pPr>
        <w:ind w:left="432"/>
      </w:pPr>
      <w:r>
        <w:t>• SMOTE within training folds only.</w:t>
      </w:r>
    </w:p>
    <w:p>
      <w:pPr>
        <w:pStyle w:val="Heading3"/>
      </w:pPr>
      <w:r>
        <w:t>6.2.3 BETH Preprocessing</w:t>
      </w:r>
    </w:p>
    <w:p>
      <w:pPr>
        <w:ind w:left="432"/>
      </w:pPr>
      <w:r>
        <w:t>• Binary encode processId (0/1/2 vs. others), userId (&lt;1000 vs. ≥1000), mountNamespace (=0xF0000000 vs. not).</w:t>
      </w:r>
    </w:p>
    <w:p>
      <w:pPr>
        <w:ind w:left="432"/>
      </w:pPr>
      <w:r>
        <w:t>• Map returnValue to {-1, 0, 1}.</w:t>
      </w:r>
    </w:p>
    <w:p>
      <w:pPr>
        <w:ind w:left="432"/>
      </w:pPr>
      <w:r>
        <w:t>• Drop string/variable-length features (processName, args, stackAddresses) for reproducibility.</w:t>
      </w:r>
    </w:p>
    <w:p>
      <w:pPr>
        <w:ind w:left="432"/>
      </w:pPr>
      <w:r>
        <w:t>• Use pre-defined train/validation/test splits (8 hosts / 4 hosts / 1 host) to preserve host-level independence.</w:t>
      </w:r>
    </w:p>
    <w:p>
      <w:pPr>
        <w:ind w:left="432"/>
      </w:pPr>
      <w:r>
        <w:t>• Binary labels: sus=0 AND evil=0 → benign; otherwise → anomalous.</w:t>
      </w:r>
    </w:p>
    <w:p>
      <w:pPr>
        <w:pStyle w:val="Heading2"/>
      </w:pPr>
      <w:r>
        <w:t>6.3 Baseline Methods</w:t>
      </w:r>
    </w:p>
    <w:p>
      <w:r>
        <w:t>We compare SecPipeAI against eight baselines spanning the full complexity spectrum. Including floor baselines (B0–B2) is essential: if a complex model cannot substantially outperform logistic regression, the added complexity is not justified (Arp et al., 2022).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fill="D9E2F3"/>
          </w:tcPr>
          <w:p>
            <w:pPr>
              <w:jc w:val="center"/>
            </w:pPr>
            <w:r/>
            <w:r>
              <w:rPr>
                <w:rFonts w:ascii="Times New Roman" w:hAnsi="Times New Roman"/>
                <w:b/>
                <w:sz w:val="18"/>
              </w:rPr>
              <w:t>ID</w:t>
            </w:r>
          </w:p>
        </w:tc>
        <w:tc>
          <w:tcPr>
            <w:tcW w:type="dxa" w:w="1440"/>
            <w:shd w:fill="D9E2F3"/>
          </w:tcPr>
          <w:p>
            <w:pPr>
              <w:jc w:val="center"/>
            </w:pPr>
            <w:r/>
            <w:r>
              <w:rPr>
                <w:rFonts w:ascii="Times New Roman" w:hAnsi="Times New Roman"/>
                <w:b/>
                <w:sz w:val="18"/>
              </w:rPr>
              <w:t>Method</w:t>
            </w:r>
          </w:p>
        </w:tc>
        <w:tc>
          <w:tcPr>
            <w:tcW w:type="dxa" w:w="1152"/>
            <w:shd w:fill="D9E2F3"/>
          </w:tcPr>
          <w:p>
            <w:pPr>
              <w:jc w:val="center"/>
            </w:pPr>
            <w:r/>
            <w:r>
              <w:rPr>
                <w:rFonts w:ascii="Times New Roman" w:hAnsi="Times New Roman"/>
                <w:b/>
                <w:sz w:val="18"/>
              </w:rPr>
              <w:t>Type</w:t>
            </w:r>
          </w:p>
        </w:tc>
        <w:tc>
          <w:tcPr>
            <w:tcW w:type="dxa" w:w="1728"/>
            <w:shd w:fill="D9E2F3"/>
          </w:tcPr>
          <w:p>
            <w:pPr>
              <w:jc w:val="center"/>
            </w:pPr>
            <w:r/>
            <w:r>
              <w:rPr>
                <w:rFonts w:ascii="Times New Roman" w:hAnsi="Times New Roman"/>
                <w:b/>
                <w:sz w:val="18"/>
              </w:rPr>
              <w:t>Implementation</w:t>
            </w:r>
          </w:p>
        </w:tc>
        <w:tc>
          <w:tcPr>
            <w:tcW w:type="dxa" w:w="3456"/>
            <w:shd w:fill="D9E2F3"/>
          </w:tcPr>
          <w:p>
            <w:pPr>
              <w:jc w:val="center"/>
            </w:pPr>
            <w:r/>
            <w:r>
              <w:rPr>
                <w:rFonts w:ascii="Times New Roman" w:hAnsi="Times New Roman"/>
                <w:b/>
                <w:sz w:val="18"/>
              </w:rPr>
              <w:t>Key Hyperparameters</w:t>
            </w:r>
          </w:p>
        </w:tc>
      </w:tr>
      <w:tr>
        <w:tc>
          <w:tcPr>
            <w:tcW w:type="dxa" w:w="432"/>
          </w:tcPr>
          <w:p>
            <w:r/>
            <w:r>
              <w:rPr>
                <w:rFonts w:ascii="Times New Roman" w:hAnsi="Times New Roman"/>
                <w:sz w:val="18"/>
              </w:rPr>
              <w:t>B0</w:t>
            </w:r>
          </w:p>
        </w:tc>
        <w:tc>
          <w:tcPr>
            <w:tcW w:type="dxa" w:w="1440"/>
          </w:tcPr>
          <w:p>
            <w:r/>
            <w:r>
              <w:rPr>
                <w:rFonts w:ascii="Times New Roman" w:hAnsi="Times New Roman"/>
                <w:sz w:val="18"/>
              </w:rPr>
              <w:t>Majority-class</w:t>
            </w:r>
          </w:p>
        </w:tc>
        <w:tc>
          <w:tcPr>
            <w:tcW w:type="dxa" w:w="1152"/>
          </w:tcPr>
          <w:p>
            <w:r/>
            <w:r>
              <w:rPr>
                <w:rFonts w:ascii="Times New Roman" w:hAnsi="Times New Roman"/>
                <w:sz w:val="18"/>
              </w:rPr>
              <w:t>Floor</w:t>
            </w:r>
          </w:p>
        </w:tc>
        <w:tc>
          <w:tcPr>
            <w:tcW w:type="dxa" w:w="1728"/>
          </w:tcPr>
          <w:p>
            <w:r/>
            <w:r>
              <w:rPr>
                <w:rFonts w:ascii="Times New Roman" w:hAnsi="Times New Roman"/>
                <w:sz w:val="18"/>
              </w:rPr>
              <w:t>sklearn DummyClassifier</w:t>
            </w:r>
          </w:p>
        </w:tc>
        <w:tc>
          <w:tcPr>
            <w:tcW w:type="dxa" w:w="3456"/>
          </w:tcPr>
          <w:p>
            <w:r/>
            <w:r>
              <w:rPr>
                <w:rFonts w:ascii="Times New Roman" w:hAnsi="Times New Roman"/>
                <w:sz w:val="18"/>
              </w:rPr>
              <w:t>strategy='most_frequent'</w:t>
            </w:r>
          </w:p>
        </w:tc>
      </w:tr>
      <w:tr>
        <w:tc>
          <w:tcPr>
            <w:tcW w:type="dxa" w:w="432"/>
          </w:tcPr>
          <w:p>
            <w:r/>
            <w:r>
              <w:rPr>
                <w:rFonts w:ascii="Times New Roman" w:hAnsi="Times New Roman"/>
                <w:sz w:val="18"/>
              </w:rPr>
              <w:t>B1</w:t>
            </w:r>
          </w:p>
        </w:tc>
        <w:tc>
          <w:tcPr>
            <w:tcW w:type="dxa" w:w="1440"/>
          </w:tcPr>
          <w:p>
            <w:r/>
            <w:r>
              <w:rPr>
                <w:rFonts w:ascii="Times New Roman" w:hAnsi="Times New Roman"/>
                <w:sz w:val="18"/>
              </w:rPr>
              <w:t>Decision Stump</w:t>
            </w:r>
          </w:p>
        </w:tc>
        <w:tc>
          <w:tcPr>
            <w:tcW w:type="dxa" w:w="1152"/>
          </w:tcPr>
          <w:p>
            <w:r/>
            <w:r>
              <w:rPr>
                <w:rFonts w:ascii="Times New Roman" w:hAnsi="Times New Roman"/>
                <w:sz w:val="18"/>
              </w:rPr>
              <w:t>Floor</w:t>
            </w:r>
          </w:p>
        </w:tc>
        <w:tc>
          <w:tcPr>
            <w:tcW w:type="dxa" w:w="1728"/>
          </w:tcPr>
          <w:p>
            <w:r/>
            <w:r>
              <w:rPr>
                <w:rFonts w:ascii="Times New Roman" w:hAnsi="Times New Roman"/>
                <w:sz w:val="18"/>
              </w:rPr>
              <w:t>sklearn DecisionTree</w:t>
            </w:r>
          </w:p>
        </w:tc>
        <w:tc>
          <w:tcPr>
            <w:tcW w:type="dxa" w:w="3456"/>
          </w:tcPr>
          <w:p>
            <w:r/>
            <w:r>
              <w:rPr>
                <w:rFonts w:ascii="Times New Roman" w:hAnsi="Times New Roman"/>
                <w:sz w:val="18"/>
              </w:rPr>
              <w:t>max_depth=1</w:t>
            </w:r>
          </w:p>
        </w:tc>
      </w:tr>
      <w:tr>
        <w:tc>
          <w:tcPr>
            <w:tcW w:type="dxa" w:w="432"/>
          </w:tcPr>
          <w:p>
            <w:r/>
            <w:r>
              <w:rPr>
                <w:rFonts w:ascii="Times New Roman" w:hAnsi="Times New Roman"/>
                <w:sz w:val="18"/>
              </w:rPr>
              <w:t>B2</w:t>
            </w:r>
          </w:p>
        </w:tc>
        <w:tc>
          <w:tcPr>
            <w:tcW w:type="dxa" w:w="1440"/>
          </w:tcPr>
          <w:p>
            <w:r/>
            <w:r>
              <w:rPr>
                <w:rFonts w:ascii="Times New Roman" w:hAnsi="Times New Roman"/>
                <w:sz w:val="18"/>
              </w:rPr>
              <w:t>Logistic Regression</w:t>
            </w:r>
          </w:p>
        </w:tc>
        <w:tc>
          <w:tcPr>
            <w:tcW w:type="dxa" w:w="1152"/>
          </w:tcPr>
          <w:p>
            <w:r/>
            <w:r>
              <w:rPr>
                <w:rFonts w:ascii="Times New Roman" w:hAnsi="Times New Roman"/>
                <w:sz w:val="18"/>
              </w:rPr>
              <w:t>Linear</w:t>
            </w:r>
          </w:p>
        </w:tc>
        <w:tc>
          <w:tcPr>
            <w:tcW w:type="dxa" w:w="1728"/>
          </w:tcPr>
          <w:p>
            <w:r/>
            <w:r>
              <w:rPr>
                <w:rFonts w:ascii="Times New Roman" w:hAnsi="Times New Roman"/>
                <w:sz w:val="18"/>
              </w:rPr>
              <w:t>sklearn LogisticRegression</w:t>
            </w:r>
          </w:p>
        </w:tc>
        <w:tc>
          <w:tcPr>
            <w:tcW w:type="dxa" w:w="3456"/>
          </w:tcPr>
          <w:p>
            <w:r/>
            <w:r>
              <w:rPr>
                <w:rFonts w:ascii="Times New Roman" w:hAnsi="Times New Roman"/>
                <w:sz w:val="18"/>
              </w:rPr>
              <w:t>C=1.0, max_iter=1000, class_weight='balanced'</w:t>
            </w:r>
          </w:p>
        </w:tc>
      </w:tr>
      <w:tr>
        <w:tc>
          <w:tcPr>
            <w:tcW w:type="dxa" w:w="432"/>
          </w:tcPr>
          <w:p>
            <w:r/>
            <w:r>
              <w:rPr>
                <w:rFonts w:ascii="Times New Roman" w:hAnsi="Times New Roman"/>
                <w:sz w:val="18"/>
              </w:rPr>
              <w:t>B3</w:t>
            </w:r>
          </w:p>
        </w:tc>
        <w:tc>
          <w:tcPr>
            <w:tcW w:type="dxa" w:w="1440"/>
          </w:tcPr>
          <w:p>
            <w:r/>
            <w:r>
              <w:rPr>
                <w:rFonts w:ascii="Times New Roman" w:hAnsi="Times New Roman"/>
                <w:sz w:val="18"/>
              </w:rPr>
              <w:t>Decision Tree (d=3)</w:t>
            </w:r>
          </w:p>
        </w:tc>
        <w:tc>
          <w:tcPr>
            <w:tcW w:type="dxa" w:w="1152"/>
          </w:tcPr>
          <w:p>
            <w:r/>
            <w:r>
              <w:rPr>
                <w:rFonts w:ascii="Times New Roman" w:hAnsi="Times New Roman"/>
                <w:sz w:val="18"/>
              </w:rPr>
              <w:t>Simple rules</w:t>
            </w:r>
          </w:p>
        </w:tc>
        <w:tc>
          <w:tcPr>
            <w:tcW w:type="dxa" w:w="1728"/>
          </w:tcPr>
          <w:p>
            <w:r/>
            <w:r>
              <w:rPr>
                <w:rFonts w:ascii="Times New Roman" w:hAnsi="Times New Roman"/>
                <w:sz w:val="18"/>
              </w:rPr>
              <w:t>sklearn DecisionTree</w:t>
            </w:r>
          </w:p>
        </w:tc>
        <w:tc>
          <w:tcPr>
            <w:tcW w:type="dxa" w:w="3456"/>
          </w:tcPr>
          <w:p>
            <w:r/>
            <w:r>
              <w:rPr>
                <w:rFonts w:ascii="Times New Roman" w:hAnsi="Times New Roman"/>
                <w:sz w:val="18"/>
              </w:rPr>
              <w:t>max_depth=3, min_samples_split=10</w:t>
            </w:r>
          </w:p>
        </w:tc>
      </w:tr>
      <w:tr>
        <w:tc>
          <w:tcPr>
            <w:tcW w:type="dxa" w:w="432"/>
          </w:tcPr>
          <w:p>
            <w:r/>
            <w:r>
              <w:rPr>
                <w:rFonts w:ascii="Times New Roman" w:hAnsi="Times New Roman"/>
                <w:sz w:val="18"/>
              </w:rPr>
              <w:t>B4</w:t>
            </w:r>
          </w:p>
        </w:tc>
        <w:tc>
          <w:tcPr>
            <w:tcW w:type="dxa" w:w="1440"/>
          </w:tcPr>
          <w:p>
            <w:r/>
            <w:r>
              <w:rPr>
                <w:rFonts w:ascii="Times New Roman" w:hAnsi="Times New Roman"/>
                <w:sz w:val="18"/>
              </w:rPr>
              <w:t>Random Forest</w:t>
            </w:r>
          </w:p>
        </w:tc>
        <w:tc>
          <w:tcPr>
            <w:tcW w:type="dxa" w:w="1152"/>
          </w:tcPr>
          <w:p>
            <w:r/>
            <w:r>
              <w:rPr>
                <w:rFonts w:ascii="Times New Roman" w:hAnsi="Times New Roman"/>
                <w:sz w:val="18"/>
              </w:rPr>
              <w:t>Ensemble (bag)</w:t>
            </w:r>
          </w:p>
        </w:tc>
        <w:tc>
          <w:tcPr>
            <w:tcW w:type="dxa" w:w="1728"/>
          </w:tcPr>
          <w:p>
            <w:r/>
            <w:r>
              <w:rPr>
                <w:rFonts w:ascii="Times New Roman" w:hAnsi="Times New Roman"/>
                <w:sz w:val="18"/>
              </w:rPr>
              <w:t>sklearn RandomForest</w:t>
            </w:r>
          </w:p>
        </w:tc>
        <w:tc>
          <w:tcPr>
            <w:tcW w:type="dxa" w:w="3456"/>
          </w:tcPr>
          <w:p>
            <w:r/>
            <w:r>
              <w:rPr>
                <w:rFonts w:ascii="Times New Roman" w:hAnsi="Times New Roman"/>
                <w:sz w:val="18"/>
              </w:rPr>
              <w:t>n_estimators=500, max_depth=None, min_samples_split=5</w:t>
            </w:r>
          </w:p>
        </w:tc>
      </w:tr>
      <w:tr>
        <w:tc>
          <w:tcPr>
            <w:tcW w:type="dxa" w:w="432"/>
          </w:tcPr>
          <w:p>
            <w:r/>
            <w:r>
              <w:rPr>
                <w:rFonts w:ascii="Times New Roman" w:hAnsi="Times New Roman"/>
                <w:sz w:val="18"/>
              </w:rPr>
              <w:t>B5</w:t>
            </w:r>
          </w:p>
        </w:tc>
        <w:tc>
          <w:tcPr>
            <w:tcW w:type="dxa" w:w="1440"/>
          </w:tcPr>
          <w:p>
            <w:r/>
            <w:r>
              <w:rPr>
                <w:rFonts w:ascii="Times New Roman" w:hAnsi="Times New Roman"/>
                <w:sz w:val="18"/>
              </w:rPr>
              <w:t>XGBoost (standalone)</w:t>
            </w:r>
          </w:p>
        </w:tc>
        <w:tc>
          <w:tcPr>
            <w:tcW w:type="dxa" w:w="1152"/>
          </w:tcPr>
          <w:p>
            <w:r/>
            <w:r>
              <w:rPr>
                <w:rFonts w:ascii="Times New Roman" w:hAnsi="Times New Roman"/>
                <w:sz w:val="18"/>
              </w:rPr>
              <w:t>Ensemble (boost)</w:t>
            </w:r>
          </w:p>
        </w:tc>
        <w:tc>
          <w:tcPr>
            <w:tcW w:type="dxa" w:w="1728"/>
          </w:tcPr>
          <w:p>
            <w:r/>
            <w:r>
              <w:rPr>
                <w:rFonts w:ascii="Times New Roman" w:hAnsi="Times New Roman"/>
                <w:sz w:val="18"/>
              </w:rPr>
              <w:t>xgboost 2.0.x</w:t>
            </w:r>
          </w:p>
        </w:tc>
        <w:tc>
          <w:tcPr>
            <w:tcW w:type="dxa" w:w="3456"/>
          </w:tcPr>
          <w:p>
            <w:r/>
            <w:r>
              <w:rPr>
                <w:rFonts w:ascii="Times New Roman" w:hAnsi="Times New Roman"/>
                <w:sz w:val="18"/>
              </w:rPr>
              <w:t>Same as Table 5 (isolates ensemble benefit)</w:t>
            </w:r>
          </w:p>
        </w:tc>
      </w:tr>
      <w:tr>
        <w:tc>
          <w:tcPr>
            <w:tcW w:type="dxa" w:w="432"/>
          </w:tcPr>
          <w:p>
            <w:r/>
            <w:r>
              <w:rPr>
                <w:rFonts w:ascii="Times New Roman" w:hAnsi="Times New Roman"/>
                <w:sz w:val="18"/>
              </w:rPr>
              <w:t>B6</w:t>
            </w:r>
          </w:p>
        </w:tc>
        <w:tc>
          <w:tcPr>
            <w:tcW w:type="dxa" w:w="1440"/>
          </w:tcPr>
          <w:p>
            <w:r/>
            <w:r>
              <w:rPr>
                <w:rFonts w:ascii="Times New Roman" w:hAnsi="Times New Roman"/>
                <w:sz w:val="18"/>
              </w:rPr>
              <w:t>LSTM Classifier</w:t>
            </w:r>
          </w:p>
        </w:tc>
        <w:tc>
          <w:tcPr>
            <w:tcW w:type="dxa" w:w="1152"/>
          </w:tcPr>
          <w:p>
            <w:r/>
            <w:r>
              <w:rPr>
                <w:rFonts w:ascii="Times New Roman" w:hAnsi="Times New Roman"/>
                <w:sz w:val="18"/>
              </w:rPr>
              <w:t>Deep (sequential)</w:t>
            </w:r>
          </w:p>
        </w:tc>
        <w:tc>
          <w:tcPr>
            <w:tcW w:type="dxa" w:w="1728"/>
          </w:tcPr>
          <w:p>
            <w:r/>
            <w:r>
              <w:rPr>
                <w:rFonts w:ascii="Times New Roman" w:hAnsi="Times New Roman"/>
                <w:sz w:val="18"/>
              </w:rPr>
              <w:t>PyTorch 2.x</w:t>
            </w:r>
          </w:p>
        </w:tc>
        <w:tc>
          <w:tcPr>
            <w:tcW w:type="dxa" w:w="3456"/>
          </w:tcPr>
          <w:p>
            <w:r/>
            <w:r>
              <w:rPr>
                <w:rFonts w:ascii="Times New Roman" w:hAnsi="Times New Roman"/>
                <w:sz w:val="18"/>
              </w:rPr>
              <w:t>2-layer, hidden=128, dropout=0.3, epochs=100</w:t>
            </w:r>
          </w:p>
        </w:tc>
      </w:tr>
      <w:tr>
        <w:tc>
          <w:tcPr>
            <w:tcW w:type="dxa" w:w="432"/>
          </w:tcPr>
          <w:p>
            <w:r/>
            <w:r>
              <w:rPr>
                <w:rFonts w:ascii="Times New Roman" w:hAnsi="Times New Roman"/>
                <w:sz w:val="18"/>
              </w:rPr>
              <w:t>B7</w:t>
            </w:r>
          </w:p>
        </w:tc>
        <w:tc>
          <w:tcPr>
            <w:tcW w:type="dxa" w:w="1440"/>
          </w:tcPr>
          <w:p>
            <w:r/>
            <w:r>
              <w:rPr>
                <w:rFonts w:ascii="Times New Roman" w:hAnsi="Times New Roman"/>
                <w:sz w:val="18"/>
              </w:rPr>
              <w:t>Autoencoder</w:t>
            </w:r>
          </w:p>
        </w:tc>
        <w:tc>
          <w:tcPr>
            <w:tcW w:type="dxa" w:w="1152"/>
          </w:tcPr>
          <w:p>
            <w:r/>
            <w:r>
              <w:rPr>
                <w:rFonts w:ascii="Times New Roman" w:hAnsi="Times New Roman"/>
                <w:sz w:val="18"/>
              </w:rPr>
              <w:t>Deep (reconstruction)</w:t>
            </w:r>
          </w:p>
        </w:tc>
        <w:tc>
          <w:tcPr>
            <w:tcW w:type="dxa" w:w="1728"/>
          </w:tcPr>
          <w:p>
            <w:r/>
            <w:r>
              <w:rPr>
                <w:rFonts w:ascii="Times New Roman" w:hAnsi="Times New Roman"/>
                <w:sz w:val="18"/>
              </w:rPr>
              <w:t>PyTorch 2.x</w:t>
            </w:r>
          </w:p>
        </w:tc>
        <w:tc>
          <w:tcPr>
            <w:tcW w:type="dxa" w:w="3456"/>
          </w:tcPr>
          <w:p>
            <w:r/>
            <w:r>
              <w:rPr>
                <w:rFonts w:ascii="Times New Roman" w:hAnsi="Times New Roman"/>
                <w:sz w:val="18"/>
              </w:rPr>
              <w:t>Encoder [128,64,32], MSE loss, epochs=100</w:t>
            </w:r>
          </w:p>
        </w:tc>
      </w:tr>
    </w:tbl>
    <w:p>
      <w:r>
        <w:rPr>
          <w:i/>
          <w:sz w:val="18"/>
        </w:rPr>
        <w:t>Table 8: Baseline methods. B0–B2 are floor baselines establishing the trivial-solution threshold.</w:t>
      </w:r>
    </w:p>
    <w:p>
      <w:pPr>
        <w:pStyle w:val="Heading2"/>
      </w:pPr>
      <w:r>
        <w:t>6.4 Evaluation Protocol</w:t>
      </w:r>
    </w:p>
    <w:p>
      <w:r>
        <w:t>All experiments use stratified 10-fold cross-validation. For each fold:</w:t>
      </w:r>
    </w:p>
    <w:p>
      <w:r>
        <w:t>1. Split into 90% train / 10% test, preserving class proportions via stratification.</w:t>
      </w:r>
    </w:p>
    <w:p>
      <w:r>
        <w:t>2. Within training: reserve 15% as validation for hyperparameter tuning and ensemble optimization.</w:t>
      </w:r>
    </w:p>
    <w:p>
      <w:r>
        <w:t>3. Apply SMOTE to training-only partition (excluding validation and test).</w:t>
      </w:r>
    </w:p>
    <w:p>
      <w:r>
        <w:t>4. Fit RobustScaler on training partition; transform validation and test.</w:t>
      </w:r>
    </w:p>
    <w:p>
      <w:r>
        <w:t>5. Train all models with early stopping on validation loss.</w:t>
      </w:r>
    </w:p>
    <w:p>
      <w:r>
        <w:t>6. Evaluate on held-out test fold using original (unaugmented) class distribution.</w:t>
      </w:r>
    </w:p>
    <w:p>
      <w:r>
        <w:t>7. Record all metrics for this fold.</w:t>
      </w:r>
    </w:p>
    <w:p>
      <w:r>
        <w:t>For stochastic methods (LSTM, AE, SecPipeAI ensemble), each fold is repeated with 10 random seeds (42, 123, 456, 789, 1024, 2048, 3072, 4096, 5120, 6144). Deterministic methods (B0–B5) run once per fold. Results reported as mean ± std across all fold×seed combinations.</w:t>
      </w:r>
    </w:p>
    <w:p>
      <w:pPr>
        <w:pStyle w:val="Heading2"/>
      </w:pPr>
      <w:r>
        <w:t>6.5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Metric</w:t>
            </w:r>
          </w:p>
        </w:tc>
        <w:tc>
          <w:tcPr>
            <w:tcW w:type="dxa" w:w="2880"/>
            <w:shd w:fill="D9E2F3"/>
          </w:tcPr>
          <w:p>
            <w:pPr>
              <w:jc w:val="center"/>
            </w:pPr>
            <w:r/>
            <w:r>
              <w:rPr>
                <w:rFonts w:ascii="Times New Roman" w:hAnsi="Times New Roman"/>
                <w:b/>
                <w:sz w:val="18"/>
              </w:rPr>
              <w:t>Definition</w:t>
            </w:r>
          </w:p>
        </w:tc>
        <w:tc>
          <w:tcPr>
            <w:tcW w:type="dxa" w:w="2880"/>
            <w:shd w:fill="D9E2F3"/>
          </w:tcPr>
          <w:p>
            <w:pPr>
              <w:jc w:val="center"/>
            </w:pPr>
            <w:r/>
            <w:r>
              <w:rPr>
                <w:rFonts w:ascii="Times New Roman" w:hAnsi="Times New Roman"/>
                <w:b/>
                <w:sz w:val="18"/>
              </w:rPr>
              <w:t>Motivation</w:t>
            </w:r>
          </w:p>
        </w:tc>
      </w:tr>
      <w:tr>
        <w:tc>
          <w:tcPr>
            <w:tcW w:type="dxa" w:w="2880"/>
          </w:tcPr>
          <w:p>
            <w:r/>
            <w:r>
              <w:rPr>
                <w:rFonts w:ascii="Times New Roman" w:hAnsi="Times New Roman"/>
                <w:sz w:val="18"/>
              </w:rPr>
              <w:t>Accuracy</w:t>
            </w:r>
          </w:p>
        </w:tc>
        <w:tc>
          <w:tcPr>
            <w:tcW w:type="dxa" w:w="2880"/>
          </w:tcPr>
          <w:p>
            <w:r/>
            <w:r>
              <w:rPr>
                <w:rFonts w:ascii="Times New Roman" w:hAnsi="Times New Roman"/>
                <w:sz w:val="18"/>
              </w:rPr>
              <w:t>(TP+TN)/(TP+TN+FP+FN)</w:t>
            </w:r>
          </w:p>
        </w:tc>
        <w:tc>
          <w:tcPr>
            <w:tcW w:type="dxa" w:w="2880"/>
          </w:tcPr>
          <w:p>
            <w:r/>
            <w:r>
              <w:rPr>
                <w:rFonts w:ascii="Times New Roman" w:hAnsi="Times New Roman"/>
                <w:sz w:val="18"/>
              </w:rPr>
              <w:t>Overall; misleading under imbalance</w:t>
            </w:r>
          </w:p>
        </w:tc>
      </w:tr>
      <w:tr>
        <w:tc>
          <w:tcPr>
            <w:tcW w:type="dxa" w:w="2880"/>
          </w:tcPr>
          <w:p>
            <w:r/>
            <w:r>
              <w:rPr>
                <w:rFonts w:ascii="Times New Roman" w:hAnsi="Times New Roman"/>
                <w:sz w:val="18"/>
              </w:rPr>
              <w:t>Precision (macro)</w:t>
            </w:r>
          </w:p>
        </w:tc>
        <w:tc>
          <w:tcPr>
            <w:tcW w:type="dxa" w:w="2880"/>
          </w:tcPr>
          <w:p>
            <w:r/>
            <w:r>
              <w:rPr>
                <w:rFonts w:ascii="Times New Roman" w:hAnsi="Times New Roman"/>
                <w:sz w:val="18"/>
              </w:rPr>
              <w:t>Mean of per-class TP/(TP+FP)</w:t>
            </w:r>
          </w:p>
        </w:tc>
        <w:tc>
          <w:tcPr>
            <w:tcW w:type="dxa" w:w="2880"/>
          </w:tcPr>
          <w:p>
            <w:r/>
            <w:r>
              <w:rPr>
                <w:rFonts w:ascii="Times New Roman" w:hAnsi="Times New Roman"/>
                <w:sz w:val="18"/>
              </w:rPr>
              <w:t>Relevance of positive predictions</w:t>
            </w:r>
          </w:p>
        </w:tc>
      </w:tr>
      <w:tr>
        <w:tc>
          <w:tcPr>
            <w:tcW w:type="dxa" w:w="2880"/>
          </w:tcPr>
          <w:p>
            <w:r/>
            <w:r>
              <w:rPr>
                <w:rFonts w:ascii="Times New Roman" w:hAnsi="Times New Roman"/>
                <w:sz w:val="18"/>
              </w:rPr>
              <w:t>Recall (macro)</w:t>
            </w:r>
          </w:p>
        </w:tc>
        <w:tc>
          <w:tcPr>
            <w:tcW w:type="dxa" w:w="2880"/>
          </w:tcPr>
          <w:p>
            <w:r/>
            <w:r>
              <w:rPr>
                <w:rFonts w:ascii="Times New Roman" w:hAnsi="Times New Roman"/>
                <w:sz w:val="18"/>
              </w:rPr>
              <w:t>Mean of per-class TP/(TP+FN)</w:t>
            </w:r>
          </w:p>
        </w:tc>
        <w:tc>
          <w:tcPr>
            <w:tcW w:type="dxa" w:w="2880"/>
          </w:tcPr>
          <w:p>
            <w:r/>
            <w:r>
              <w:rPr>
                <w:rFonts w:ascii="Times New Roman" w:hAnsi="Times New Roman"/>
                <w:sz w:val="18"/>
              </w:rPr>
              <w:t>Completeness of threat detection</w:t>
            </w:r>
          </w:p>
        </w:tc>
      </w:tr>
      <w:tr>
        <w:tc>
          <w:tcPr>
            <w:tcW w:type="dxa" w:w="2880"/>
          </w:tcPr>
          <w:p>
            <w:r/>
            <w:r>
              <w:rPr>
                <w:rFonts w:ascii="Times New Roman" w:hAnsi="Times New Roman"/>
                <w:sz w:val="18"/>
              </w:rPr>
              <w:t>Macro-F1</w:t>
            </w:r>
          </w:p>
        </w:tc>
        <w:tc>
          <w:tcPr>
            <w:tcW w:type="dxa" w:w="2880"/>
          </w:tcPr>
          <w:p>
            <w:r/>
            <w:r>
              <w:rPr>
                <w:rFonts w:ascii="Times New Roman" w:hAnsi="Times New Roman"/>
                <w:sz w:val="18"/>
              </w:rPr>
              <w:t>Mean of per-class F1</w:t>
            </w:r>
          </w:p>
        </w:tc>
        <w:tc>
          <w:tcPr>
            <w:tcW w:type="dxa" w:w="2880"/>
          </w:tcPr>
          <w:p>
            <w:r/>
            <w:r>
              <w:rPr>
                <w:rFonts w:ascii="Times New Roman" w:hAnsi="Times New Roman"/>
                <w:sz w:val="18"/>
              </w:rPr>
              <w:t>Primary metric; class-balanced</w:t>
            </w:r>
          </w:p>
        </w:tc>
      </w:tr>
      <w:tr>
        <w:tc>
          <w:tcPr>
            <w:tcW w:type="dxa" w:w="2880"/>
          </w:tcPr>
          <w:p>
            <w:r/>
            <w:r>
              <w:rPr>
                <w:rFonts w:ascii="Times New Roman" w:hAnsi="Times New Roman"/>
                <w:sz w:val="18"/>
              </w:rPr>
              <w:t>Per-class F1</w:t>
            </w:r>
          </w:p>
        </w:tc>
        <w:tc>
          <w:tcPr>
            <w:tcW w:type="dxa" w:w="2880"/>
          </w:tcPr>
          <w:p>
            <w:r/>
            <w:r>
              <w:rPr>
                <w:rFonts w:ascii="Times New Roman" w:hAnsi="Times New Roman"/>
                <w:sz w:val="18"/>
              </w:rPr>
              <w:t>2·P·R/(P+R) per class</w:t>
            </w:r>
          </w:p>
        </w:tc>
        <w:tc>
          <w:tcPr>
            <w:tcW w:type="dxa" w:w="2880"/>
          </w:tcPr>
          <w:p>
            <w:r/>
            <w:r>
              <w:rPr>
                <w:rFonts w:ascii="Times New Roman" w:hAnsi="Times New Roman"/>
                <w:sz w:val="18"/>
              </w:rPr>
              <w:t>Identifies weak-spot attack types</w:t>
            </w:r>
          </w:p>
        </w:tc>
      </w:tr>
      <w:tr>
        <w:tc>
          <w:tcPr>
            <w:tcW w:type="dxa" w:w="2880"/>
          </w:tcPr>
          <w:p>
            <w:r/>
            <w:r>
              <w:rPr>
                <w:rFonts w:ascii="Times New Roman" w:hAnsi="Times New Roman"/>
                <w:sz w:val="18"/>
              </w:rPr>
              <w:t>AUC-ROC</w:t>
            </w:r>
          </w:p>
        </w:tc>
        <w:tc>
          <w:tcPr>
            <w:tcW w:type="dxa" w:w="2880"/>
          </w:tcPr>
          <w:p>
            <w:r/>
            <w:r>
              <w:rPr>
                <w:rFonts w:ascii="Times New Roman" w:hAnsi="Times New Roman"/>
                <w:sz w:val="18"/>
              </w:rPr>
              <w:t>Area under ROC</w:t>
            </w:r>
          </w:p>
        </w:tc>
        <w:tc>
          <w:tcPr>
            <w:tcW w:type="dxa" w:w="2880"/>
          </w:tcPr>
          <w:p>
            <w:r/>
            <w:r>
              <w:rPr>
                <w:rFonts w:ascii="Times New Roman" w:hAnsi="Times New Roman"/>
                <w:sz w:val="18"/>
              </w:rPr>
              <w:t>Threshold-independent (binary only)</w:t>
            </w:r>
          </w:p>
        </w:tc>
      </w:tr>
      <w:tr>
        <w:tc>
          <w:tcPr>
            <w:tcW w:type="dxa" w:w="2880"/>
          </w:tcPr>
          <w:p>
            <w:r/>
            <w:r>
              <w:rPr>
                <w:rFonts w:ascii="Times New Roman" w:hAnsi="Times New Roman"/>
                <w:sz w:val="18"/>
              </w:rPr>
              <w:t>PR-AUC</w:t>
            </w:r>
          </w:p>
        </w:tc>
        <w:tc>
          <w:tcPr>
            <w:tcW w:type="dxa" w:w="2880"/>
          </w:tcPr>
          <w:p>
            <w:r/>
            <w:r>
              <w:rPr>
                <w:rFonts w:ascii="Times New Roman" w:hAnsi="Times New Roman"/>
                <w:sz w:val="18"/>
              </w:rPr>
              <w:t>Area under Precision-Recall curve</w:t>
            </w:r>
          </w:p>
        </w:tc>
        <w:tc>
          <w:tcPr>
            <w:tcW w:type="dxa" w:w="2880"/>
          </w:tcPr>
          <w:p>
            <w:r/>
            <w:r>
              <w:rPr>
                <w:rFonts w:ascii="Times New Roman" w:hAnsi="Times New Roman"/>
                <w:sz w:val="18"/>
              </w:rPr>
              <w:t>Preferred under severe imbalance</w:t>
            </w:r>
          </w:p>
        </w:tc>
      </w:tr>
      <w:tr>
        <w:tc>
          <w:tcPr>
            <w:tcW w:type="dxa" w:w="2880"/>
          </w:tcPr>
          <w:p>
            <w:r/>
            <w:r>
              <w:rPr>
                <w:rFonts w:ascii="Times New Roman" w:hAnsi="Times New Roman"/>
                <w:sz w:val="18"/>
              </w:rPr>
              <w:t>FAR</w:t>
            </w:r>
          </w:p>
        </w:tc>
        <w:tc>
          <w:tcPr>
            <w:tcW w:type="dxa" w:w="2880"/>
          </w:tcPr>
          <w:p>
            <w:r/>
            <w:r>
              <w:rPr>
                <w:rFonts w:ascii="Times New Roman" w:hAnsi="Times New Roman"/>
                <w:sz w:val="18"/>
              </w:rPr>
              <w:t>FP/(FP+TN)</w:t>
            </w:r>
          </w:p>
        </w:tc>
        <w:tc>
          <w:tcPr>
            <w:tcW w:type="dxa" w:w="2880"/>
          </w:tcPr>
          <w:p>
            <w:r/>
            <w:r>
              <w:rPr>
                <w:rFonts w:ascii="Times New Roman" w:hAnsi="Times New Roman"/>
                <w:sz w:val="18"/>
              </w:rPr>
              <w:t>Operational false alarm cost</w:t>
            </w:r>
          </w:p>
        </w:tc>
      </w:tr>
      <w:tr>
        <w:tc>
          <w:tcPr>
            <w:tcW w:type="dxa" w:w="2880"/>
          </w:tcPr>
          <w:p>
            <w:r/>
            <w:r>
              <w:rPr>
                <w:rFonts w:ascii="Times New Roman" w:hAnsi="Times New Roman"/>
                <w:sz w:val="18"/>
              </w:rPr>
              <w:t>Detection latency</w:t>
            </w:r>
          </w:p>
        </w:tc>
        <w:tc>
          <w:tcPr>
            <w:tcW w:type="dxa" w:w="2880"/>
          </w:tcPr>
          <w:p>
            <w:r/>
            <w:r>
              <w:rPr>
                <w:rFonts w:ascii="Times New Roman" w:hAnsi="Times New Roman"/>
                <w:sz w:val="18"/>
              </w:rPr>
              <w:t>ms per event, end-to-end</w:t>
            </w:r>
          </w:p>
        </w:tc>
        <w:tc>
          <w:tcPr>
            <w:tcW w:type="dxa" w:w="2880"/>
          </w:tcPr>
          <w:p>
            <w:r/>
            <w:r>
              <w:rPr>
                <w:rFonts w:ascii="Times New Roman" w:hAnsi="Times New Roman"/>
                <w:sz w:val="18"/>
              </w:rPr>
              <w:t>Real-time feasibility</w:t>
            </w:r>
          </w:p>
        </w:tc>
      </w:tr>
      <w:tr>
        <w:tc>
          <w:tcPr>
            <w:tcW w:type="dxa" w:w="2880"/>
          </w:tcPr>
          <w:p>
            <w:r/>
            <w:r>
              <w:rPr>
                <w:rFonts w:ascii="Times New Roman" w:hAnsi="Times New Roman"/>
                <w:sz w:val="18"/>
              </w:rPr>
              <w:t>Throughput</w:t>
            </w:r>
          </w:p>
        </w:tc>
        <w:tc>
          <w:tcPr>
            <w:tcW w:type="dxa" w:w="2880"/>
          </w:tcPr>
          <w:p>
            <w:r/>
            <w:r>
              <w:rPr>
                <w:rFonts w:ascii="Times New Roman" w:hAnsi="Times New Roman"/>
                <w:sz w:val="18"/>
              </w:rPr>
              <w:t>Events/sec sustained</w:t>
            </w:r>
          </w:p>
        </w:tc>
        <w:tc>
          <w:tcPr>
            <w:tcW w:type="dxa" w:w="2880"/>
          </w:tcPr>
          <w:p>
            <w:r/>
            <w:r>
              <w:rPr>
                <w:rFonts w:ascii="Times New Roman" w:hAnsi="Times New Roman"/>
                <w:sz w:val="18"/>
              </w:rPr>
              <w:t>Scalability indicator</w:t>
            </w:r>
          </w:p>
        </w:tc>
      </w:tr>
      <w:tr>
        <w:tc>
          <w:tcPr>
            <w:tcW w:type="dxa" w:w="2880"/>
          </w:tcPr>
          <w:p>
            <w:r/>
            <w:r>
              <w:rPr>
                <w:rFonts w:ascii="Times New Roman" w:hAnsi="Times New Roman"/>
                <w:sz w:val="18"/>
              </w:rPr>
              <w:t>CPU %</w:t>
            </w:r>
          </w:p>
        </w:tc>
        <w:tc>
          <w:tcPr>
            <w:tcW w:type="dxa" w:w="2880"/>
          </w:tcPr>
          <w:p>
            <w:r/>
            <w:r>
              <w:rPr>
                <w:rFonts w:ascii="Times New Roman" w:hAnsi="Times New Roman"/>
                <w:sz w:val="18"/>
              </w:rPr>
              <w:t>Inference CPU utilization</w:t>
            </w:r>
          </w:p>
        </w:tc>
        <w:tc>
          <w:tcPr>
            <w:tcW w:type="dxa" w:w="2880"/>
          </w:tcPr>
          <w:p>
            <w:r/>
            <w:r>
              <w:rPr>
                <w:rFonts w:ascii="Times New Roman" w:hAnsi="Times New Roman"/>
                <w:sz w:val="18"/>
              </w:rPr>
              <w:t>Resource efficiency</w:t>
            </w:r>
          </w:p>
        </w:tc>
      </w:tr>
      <w:tr>
        <w:tc>
          <w:tcPr>
            <w:tcW w:type="dxa" w:w="2880"/>
          </w:tcPr>
          <w:p>
            <w:r/>
            <w:r>
              <w:rPr>
                <w:rFonts w:ascii="Times New Roman" w:hAnsi="Times New Roman"/>
                <w:sz w:val="18"/>
              </w:rPr>
              <w:t>Memory (MB)</w:t>
            </w:r>
          </w:p>
        </w:tc>
        <w:tc>
          <w:tcPr>
            <w:tcW w:type="dxa" w:w="2880"/>
          </w:tcPr>
          <w:p>
            <w:r/>
            <w:r>
              <w:rPr>
                <w:rFonts w:ascii="Times New Roman" w:hAnsi="Times New Roman"/>
                <w:sz w:val="18"/>
              </w:rPr>
              <w:t>Peak inference memory</w:t>
            </w:r>
          </w:p>
        </w:tc>
        <w:tc>
          <w:tcPr>
            <w:tcW w:type="dxa" w:w="2880"/>
          </w:tcPr>
          <w:p>
            <w:r/>
            <w:r>
              <w:rPr>
                <w:rFonts w:ascii="Times New Roman" w:hAnsi="Times New Roman"/>
                <w:sz w:val="18"/>
              </w:rPr>
              <w:t>Deployment feasibility</w:t>
            </w:r>
          </w:p>
        </w:tc>
      </w:tr>
    </w:tbl>
    <w:p>
      <w:r>
        <w:rPr>
          <w:i/>
          <w:sz w:val="18"/>
        </w:rPr>
        <w:t>Table 9: Evaluation metrics. Macro-F1 is the primary comparison metric.</w:t>
      </w:r>
    </w:p>
    <w:p>
      <w:pPr>
        <w:pStyle w:val="Heading2"/>
      </w:pPr>
      <w:r>
        <w:t>6.6 Statistical Testing and Effect Sizes</w:t>
      </w:r>
    </w:p>
    <w:p>
      <w:r>
        <w:t>We apply a hierarchy of statistical tests following Demšar (JMLR 2006) and Rainio et al. (Scientific Reports 2024):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Comparison</w:t>
            </w:r>
          </w:p>
        </w:tc>
        <w:tc>
          <w:tcPr>
            <w:tcW w:type="dxa" w:w="1728"/>
            <w:shd w:fill="D9E2F3"/>
          </w:tcPr>
          <w:p>
            <w:pPr>
              <w:jc w:val="center"/>
            </w:pPr>
            <w:r/>
            <w:r>
              <w:rPr>
                <w:rFonts w:ascii="Times New Roman" w:hAnsi="Times New Roman"/>
                <w:b/>
                <w:sz w:val="18"/>
              </w:rPr>
              <w:t>Test</w:t>
            </w:r>
          </w:p>
        </w:tc>
        <w:tc>
          <w:tcPr>
            <w:tcW w:type="dxa" w:w="2592"/>
            <w:shd w:fill="D9E2F3"/>
          </w:tcPr>
          <w:p>
            <w:pPr>
              <w:jc w:val="center"/>
            </w:pPr>
            <w:r/>
            <w:r>
              <w:rPr>
                <w:rFonts w:ascii="Times New Roman" w:hAnsi="Times New Roman"/>
                <w:b/>
                <w:sz w:val="18"/>
              </w:rPr>
              <w:t>When</w:t>
            </w:r>
          </w:p>
        </w:tc>
        <w:tc>
          <w:tcPr>
            <w:tcW w:type="dxa" w:w="1728"/>
            <w:shd w:fill="D9E2F3"/>
          </w:tcPr>
          <w:p>
            <w:pPr>
              <w:jc w:val="center"/>
            </w:pPr>
            <w:r/>
            <w:r>
              <w:rPr>
                <w:rFonts w:ascii="Times New Roman" w:hAnsi="Times New Roman"/>
                <w:b/>
                <w:sz w:val="18"/>
              </w:rPr>
              <w:t>Correction</w:t>
            </w:r>
          </w:p>
        </w:tc>
      </w:tr>
      <w:tr>
        <w:tc>
          <w:tcPr>
            <w:tcW w:type="dxa" w:w="2160"/>
          </w:tcPr>
          <w:p>
            <w:r/>
            <w:r>
              <w:rPr>
                <w:rFonts w:ascii="Times New Roman" w:hAnsi="Times New Roman"/>
                <w:sz w:val="18"/>
              </w:rPr>
              <w:t>SecPipeAI vs. one baseline, one dataset</w:t>
            </w:r>
          </w:p>
        </w:tc>
        <w:tc>
          <w:tcPr>
            <w:tcW w:type="dxa" w:w="1728"/>
          </w:tcPr>
          <w:p>
            <w:r/>
            <w:r>
              <w:rPr>
                <w:rFonts w:ascii="Times New Roman" w:hAnsi="Times New Roman"/>
                <w:sz w:val="18"/>
              </w:rPr>
              <w:t>McNemar’s exact test</w:t>
            </w:r>
          </w:p>
        </w:tc>
        <w:tc>
          <w:tcPr>
            <w:tcW w:type="dxa" w:w="2592"/>
          </w:tcPr>
          <w:p>
            <w:r/>
            <w:r>
              <w:rPr>
                <w:rFonts w:ascii="Times New Roman" w:hAnsi="Times New Roman"/>
                <w:sz w:val="18"/>
              </w:rPr>
              <w:t>2×2 disagreement table on test predictions</w:t>
            </w:r>
          </w:p>
        </w:tc>
        <w:tc>
          <w:tcPr>
            <w:tcW w:type="dxa" w:w="1728"/>
          </w:tcPr>
          <w:p>
            <w:r/>
            <w:r>
              <w:rPr>
                <w:rFonts w:ascii="Times New Roman" w:hAnsi="Times New Roman"/>
                <w:sz w:val="18"/>
              </w:rPr>
              <w:t>None (single comparison)</w:t>
            </w:r>
          </w:p>
        </w:tc>
      </w:tr>
      <w:tr>
        <w:tc>
          <w:tcPr>
            <w:tcW w:type="dxa" w:w="2160"/>
          </w:tcPr>
          <w:p>
            <w:r/>
            <w:r>
              <w:rPr>
                <w:rFonts w:ascii="Times New Roman" w:hAnsi="Times New Roman"/>
                <w:sz w:val="18"/>
              </w:rPr>
              <w:t>SecPipeAI vs. one baseline, across 3 datasets</w:t>
            </w:r>
          </w:p>
        </w:tc>
        <w:tc>
          <w:tcPr>
            <w:tcW w:type="dxa" w:w="1728"/>
          </w:tcPr>
          <w:p>
            <w:r/>
            <w:r>
              <w:rPr>
                <w:rFonts w:ascii="Times New Roman" w:hAnsi="Times New Roman"/>
                <w:sz w:val="18"/>
              </w:rPr>
              <w:t>Wilcoxon signed-rank</w:t>
            </w:r>
          </w:p>
        </w:tc>
        <w:tc>
          <w:tcPr>
            <w:tcW w:type="dxa" w:w="2592"/>
          </w:tcPr>
          <w:p>
            <w:r/>
            <w:r>
              <w:rPr>
                <w:rFonts w:ascii="Times New Roman" w:hAnsi="Times New Roman"/>
                <w:sz w:val="18"/>
              </w:rPr>
              <w:t>Paired F1 scores across datasets×folds</w:t>
            </w:r>
          </w:p>
        </w:tc>
        <w:tc>
          <w:tcPr>
            <w:tcW w:type="dxa" w:w="1728"/>
          </w:tcPr>
          <w:p>
            <w:r/>
            <w:r>
              <w:rPr>
                <w:rFonts w:ascii="Times New Roman" w:hAnsi="Times New Roman"/>
                <w:sz w:val="18"/>
              </w:rPr>
              <w:t>Holm-Bonferroni</w:t>
            </w:r>
          </w:p>
        </w:tc>
      </w:tr>
      <w:tr>
        <w:tc>
          <w:tcPr>
            <w:tcW w:type="dxa" w:w="2160"/>
          </w:tcPr>
          <w:p>
            <w:r/>
            <w:r>
              <w:rPr>
                <w:rFonts w:ascii="Times New Roman" w:hAnsi="Times New Roman"/>
                <w:sz w:val="18"/>
              </w:rPr>
              <w:t>All 9 methods across 3 datasets</w:t>
            </w:r>
          </w:p>
        </w:tc>
        <w:tc>
          <w:tcPr>
            <w:tcW w:type="dxa" w:w="1728"/>
          </w:tcPr>
          <w:p>
            <w:r/>
            <w:r>
              <w:rPr>
                <w:rFonts w:ascii="Times New Roman" w:hAnsi="Times New Roman"/>
                <w:sz w:val="18"/>
              </w:rPr>
              <w:t>Friedman test (omnibus)</w:t>
            </w:r>
          </w:p>
        </w:tc>
        <w:tc>
          <w:tcPr>
            <w:tcW w:type="dxa" w:w="2592"/>
          </w:tcPr>
          <w:p>
            <w:r/>
            <w:r>
              <w:rPr>
                <w:rFonts w:ascii="Times New Roman" w:hAnsi="Times New Roman"/>
                <w:sz w:val="18"/>
              </w:rPr>
              <w:t>Ranked F1 across datasets×folds</w:t>
            </w:r>
          </w:p>
        </w:tc>
        <w:tc>
          <w:tcPr>
            <w:tcW w:type="dxa" w:w="1728"/>
          </w:tcPr>
          <w:p>
            <w:r/>
            <w:r>
              <w:rPr>
                <w:rFonts w:ascii="Times New Roman" w:hAnsi="Times New Roman"/>
                <w:sz w:val="18"/>
              </w:rPr>
              <w:t>Post-hoc: Nemenyi</w:t>
            </w:r>
          </w:p>
        </w:tc>
      </w:tr>
      <w:tr>
        <w:tc>
          <w:tcPr>
            <w:tcW w:type="dxa" w:w="2160"/>
          </w:tcPr>
          <w:p>
            <w:r/>
            <w:r>
              <w:rPr>
                <w:rFonts w:ascii="Times New Roman" w:hAnsi="Times New Roman"/>
                <w:sz w:val="18"/>
              </w:rPr>
              <w:t>Effect size for pairwise comparisons</w:t>
            </w:r>
          </w:p>
        </w:tc>
        <w:tc>
          <w:tcPr>
            <w:tcW w:type="dxa" w:w="1728"/>
          </w:tcPr>
          <w:p>
            <w:r/>
            <w:r>
              <w:rPr>
                <w:rFonts w:ascii="Times New Roman" w:hAnsi="Times New Roman"/>
                <w:sz w:val="18"/>
              </w:rPr>
              <w:t>Cliff’s delta + 95% bootstrap CI</w:t>
            </w:r>
          </w:p>
        </w:tc>
        <w:tc>
          <w:tcPr>
            <w:tcW w:type="dxa" w:w="2592"/>
          </w:tcPr>
          <w:p>
            <w:r/>
            <w:r>
              <w:rPr>
                <w:rFonts w:ascii="Times New Roman" w:hAnsi="Times New Roman"/>
                <w:sz w:val="18"/>
              </w:rPr>
              <w:t>Non-parametric, robust to outliers</w:t>
            </w:r>
          </w:p>
        </w:tc>
        <w:tc>
          <w:tcPr>
            <w:tcW w:type="dxa" w:w="1728"/>
          </w:tcPr>
          <w:p>
            <w:r/>
            <w:r>
              <w:rPr>
                <w:rFonts w:ascii="Times New Roman" w:hAnsi="Times New Roman"/>
                <w:sz w:val="18"/>
              </w:rPr>
              <w:t>1000 bootstrap samples</w:t>
            </w:r>
          </w:p>
        </w:tc>
      </w:tr>
    </w:tbl>
    <w:p>
      <w:r>
        <w:rPr>
          <w:i/>
          <w:sz w:val="18"/>
        </w:rPr>
        <w:t>Table 10: Statistical testing hierarchy. Significance level α = 0.05 throughout.</w:t>
      </w:r>
    </w:p>
    <w:p>
      <w:r>
        <w:t>Cliff’s delta interpretation (Romano et al., 2006): |δ| &lt; 0.147 negligible, 0.147–0.33 small, 0.33–0.474 medium, ≥ 0.474 large. We report 95% confidence intervals via bootstrap resampling (1000 iterations). Results are presented in Critical Difference diagrams for the Friedman–Nemenyi analysis.</w:t>
      </w:r>
    </w:p>
    <w:p>
      <w:pPr>
        <w:pStyle w:val="Heading2"/>
      </w:pPr>
      <w:r>
        <w:t>6.7 Ablation Study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Config</w:t>
            </w:r>
          </w:p>
        </w:tc>
        <w:tc>
          <w:tcPr>
            <w:tcW w:type="dxa" w:w="2880"/>
            <w:shd w:fill="D9E2F3"/>
          </w:tcPr>
          <w:p>
            <w:pPr>
              <w:jc w:val="center"/>
            </w:pPr>
            <w:r/>
            <w:r>
              <w:rPr>
                <w:rFonts w:ascii="Times New Roman" w:hAnsi="Times New Roman"/>
                <w:b/>
                <w:sz w:val="18"/>
              </w:rPr>
              <w:t>Active Components</w:t>
            </w:r>
          </w:p>
        </w:tc>
        <w:tc>
          <w:tcPr>
            <w:tcW w:type="dxa" w:w="2880"/>
            <w:shd w:fill="D9E2F3"/>
          </w:tcPr>
          <w:p>
            <w:pPr>
              <w:jc w:val="center"/>
            </w:pPr>
            <w:r/>
            <w:r>
              <w:rPr>
                <w:rFonts w:ascii="Times New Roman" w:hAnsi="Times New Roman"/>
                <w:b/>
                <w:sz w:val="18"/>
              </w:rPr>
              <w:t>Purpose</w:t>
            </w:r>
          </w:p>
        </w:tc>
      </w:tr>
      <w:tr>
        <w:tc>
          <w:tcPr>
            <w:tcW w:type="dxa" w:w="2880"/>
          </w:tcPr>
          <w:p>
            <w:r/>
            <w:r>
              <w:rPr>
                <w:rFonts w:ascii="Times New Roman" w:hAnsi="Times New Roman"/>
                <w:sz w:val="18"/>
              </w:rPr>
              <w:t>SecPipeAI-Full</w:t>
            </w:r>
          </w:p>
        </w:tc>
        <w:tc>
          <w:tcPr>
            <w:tcW w:type="dxa" w:w="2880"/>
          </w:tcPr>
          <w:p>
            <w:r/>
            <w:r>
              <w:rPr>
                <w:rFonts w:ascii="Times New Roman" w:hAnsi="Times New Roman"/>
                <w:sz w:val="18"/>
              </w:rPr>
              <w:t>XGBoost + LSTM-AE + Response</w:t>
            </w:r>
          </w:p>
        </w:tc>
        <w:tc>
          <w:tcPr>
            <w:tcW w:type="dxa" w:w="2880"/>
          </w:tcPr>
          <w:p>
            <w:r/>
            <w:r>
              <w:rPr>
                <w:rFonts w:ascii="Times New Roman" w:hAnsi="Times New Roman"/>
                <w:sz w:val="18"/>
              </w:rPr>
              <w:t>Complete framework (answers RQ1)</w:t>
            </w:r>
          </w:p>
        </w:tc>
      </w:tr>
      <w:tr>
        <w:tc>
          <w:tcPr>
            <w:tcW w:type="dxa" w:w="2880"/>
          </w:tcPr>
          <w:p>
            <w:r/>
            <w:r>
              <w:rPr>
                <w:rFonts w:ascii="Times New Roman" w:hAnsi="Times New Roman"/>
                <w:sz w:val="18"/>
              </w:rPr>
              <w:t>SecPipeAI-XGB</w:t>
            </w:r>
          </w:p>
        </w:tc>
        <w:tc>
          <w:tcPr>
            <w:tcW w:type="dxa" w:w="2880"/>
          </w:tcPr>
          <w:p>
            <w:r/>
            <w:r>
              <w:rPr>
                <w:rFonts w:ascii="Times New Roman" w:hAnsi="Times New Roman"/>
                <w:sz w:val="18"/>
              </w:rPr>
              <w:t>XGBoost only</w:t>
            </w:r>
          </w:p>
        </w:tc>
        <w:tc>
          <w:tcPr>
            <w:tcW w:type="dxa" w:w="2880"/>
          </w:tcPr>
          <w:p>
            <w:r/>
            <w:r>
              <w:rPr>
                <w:rFonts w:ascii="Times New Roman" w:hAnsi="Times New Roman"/>
                <w:sz w:val="18"/>
              </w:rPr>
              <w:t>Isolate feature-based detection</w:t>
            </w:r>
          </w:p>
        </w:tc>
      </w:tr>
      <w:tr>
        <w:tc>
          <w:tcPr>
            <w:tcW w:type="dxa" w:w="2880"/>
          </w:tcPr>
          <w:p>
            <w:r/>
            <w:r>
              <w:rPr>
                <w:rFonts w:ascii="Times New Roman" w:hAnsi="Times New Roman"/>
                <w:sz w:val="18"/>
              </w:rPr>
              <w:t>SecPipeAI-LSTM</w:t>
            </w:r>
          </w:p>
        </w:tc>
        <w:tc>
          <w:tcPr>
            <w:tcW w:type="dxa" w:w="2880"/>
          </w:tcPr>
          <w:p>
            <w:r/>
            <w:r>
              <w:rPr>
                <w:rFonts w:ascii="Times New Roman" w:hAnsi="Times New Roman"/>
                <w:sz w:val="18"/>
              </w:rPr>
              <w:t>LSTM-AE only</w:t>
            </w:r>
          </w:p>
        </w:tc>
        <w:tc>
          <w:tcPr>
            <w:tcW w:type="dxa" w:w="2880"/>
          </w:tcPr>
          <w:p>
            <w:r/>
            <w:r>
              <w:rPr>
                <w:rFonts w:ascii="Times New Roman" w:hAnsi="Times New Roman"/>
                <w:sz w:val="18"/>
              </w:rPr>
              <w:t>Isolate sequence-based detection</w:t>
            </w:r>
          </w:p>
        </w:tc>
      </w:tr>
      <w:tr>
        <w:tc>
          <w:tcPr>
            <w:tcW w:type="dxa" w:w="2880"/>
          </w:tcPr>
          <w:p>
            <w:r/>
            <w:r>
              <w:rPr>
                <w:rFonts w:ascii="Times New Roman" w:hAnsi="Times New Roman"/>
                <w:sz w:val="18"/>
              </w:rPr>
              <w:t>SecPipeAI-NoProv</w:t>
            </w:r>
          </w:p>
        </w:tc>
        <w:tc>
          <w:tcPr>
            <w:tcW w:type="dxa" w:w="2880"/>
          </w:tcPr>
          <w:p>
            <w:r/>
            <w:r>
              <w:rPr>
                <w:rFonts w:ascii="Times New Roman" w:hAnsi="Times New Roman"/>
                <w:sz w:val="18"/>
              </w:rPr>
              <w:t>Full minus provenance features</w:t>
            </w:r>
          </w:p>
        </w:tc>
        <w:tc>
          <w:tcPr>
            <w:tcW w:type="dxa" w:w="2880"/>
          </w:tcPr>
          <w:p>
            <w:r/>
            <w:r>
              <w:rPr>
                <w:rFonts w:ascii="Times New Roman" w:hAnsi="Times New Roman"/>
                <w:sz w:val="18"/>
              </w:rPr>
              <w:t>Isolate provenance feature contribution</w:t>
            </w:r>
          </w:p>
        </w:tc>
      </w:tr>
      <w:tr>
        <w:tc>
          <w:tcPr>
            <w:tcW w:type="dxa" w:w="2880"/>
          </w:tcPr>
          <w:p>
            <w:r/>
            <w:r>
              <w:rPr>
                <w:rFonts w:ascii="Times New Roman" w:hAnsi="Times New Roman"/>
                <w:sz w:val="18"/>
              </w:rPr>
              <w:t>SecPipeAI-NoResp</w:t>
            </w:r>
          </w:p>
        </w:tc>
        <w:tc>
          <w:tcPr>
            <w:tcW w:type="dxa" w:w="2880"/>
          </w:tcPr>
          <w:p>
            <w:r/>
            <w:r>
              <w:rPr>
                <w:rFonts w:ascii="Times New Roman" w:hAnsi="Times New Roman"/>
                <w:sz w:val="18"/>
              </w:rPr>
              <w:t>XGBoost + LSTM-AE (no orchestrator)</w:t>
            </w:r>
          </w:p>
        </w:tc>
        <w:tc>
          <w:tcPr>
            <w:tcW w:type="dxa" w:w="2880"/>
          </w:tcPr>
          <w:p>
            <w:r/>
            <w:r>
              <w:rPr>
                <w:rFonts w:ascii="Times New Roman" w:hAnsi="Times New Roman"/>
                <w:sz w:val="18"/>
              </w:rPr>
              <w:t>Isolate response impact on FAR</w:t>
            </w:r>
          </w:p>
        </w:tc>
      </w:tr>
    </w:tbl>
    <w:p>
      <w:r>
        <w:rPr>
          <w:i/>
          <w:sz w:val="18"/>
        </w:rPr>
        <w:t>Table 11: Ablation configurations (answers RQ2).</w:t>
      </w:r>
    </w:p>
    <w:p>
      <w:pPr>
        <w:pStyle w:val="Heading2"/>
      </w:pPr>
      <w:r>
        <w:t>6.8 Scalability Protocol</w:t>
      </w:r>
    </w:p>
    <w:p>
      <w:r>
        <w:t>To answer RQ3, scalability is measured along three dimensions:</w:t>
      </w:r>
    </w:p>
    <w:p>
      <w:pPr>
        <w:ind w:left="432"/>
      </w:pPr>
      <w:r>
        <w:t>• Cluster size: 4, 8, 16, 32, 64 worker nodes → latency and throughput.</w:t>
      </w:r>
    </w:p>
    <w:p>
      <w:pPr>
        <w:ind w:left="432"/>
      </w:pPr>
      <w:r>
        <w:t>• Pipeline concurrency: 1, 10, 25, 50, 100 simultaneous builds → resource consumption and accuracy.</w:t>
      </w:r>
    </w:p>
    <w:p>
      <w:pPr>
        <w:ind w:left="432"/>
      </w:pPr>
      <w:r>
        <w:t>• Event volume: 1K, 10K, 100K, 1M events/min → sustained throughput and queuing latency.</w:t>
      </w:r>
    </w:p>
    <w:p>
      <w:pPr>
        <w:pStyle w:val="Heading2"/>
      </w:pPr>
      <w:r>
        <w:t>6.9 Experimental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pPr>
              <w:jc w:val="center"/>
            </w:pPr>
            <w:r/>
            <w:r>
              <w:rPr>
                <w:rFonts w:ascii="Times New Roman" w:hAnsi="Times New Roman"/>
                <w:b/>
                <w:sz w:val="18"/>
              </w:rPr>
              <w:t>Component</w:t>
            </w:r>
          </w:p>
        </w:tc>
        <w:tc>
          <w:tcPr>
            <w:tcW w:type="dxa" w:w="4320"/>
            <w:shd w:fill="D9E2F3"/>
          </w:tcPr>
          <w:p>
            <w:pPr>
              <w:jc w:val="center"/>
            </w:pPr>
            <w:r/>
            <w:r>
              <w:rPr>
                <w:rFonts w:ascii="Times New Roman" w:hAnsi="Times New Roman"/>
                <w:b/>
                <w:sz w:val="18"/>
              </w:rPr>
              <w:t>Specification</w:t>
            </w:r>
          </w:p>
        </w:tc>
      </w:tr>
      <w:tr>
        <w:tc>
          <w:tcPr>
            <w:tcW w:type="dxa" w:w="4320"/>
          </w:tcPr>
          <w:p>
            <w:r/>
            <w:r>
              <w:rPr>
                <w:rFonts w:ascii="Times New Roman" w:hAnsi="Times New Roman"/>
                <w:sz w:val="18"/>
              </w:rPr>
              <w:t>GPU</w:t>
            </w:r>
          </w:p>
        </w:tc>
        <w:tc>
          <w:tcPr>
            <w:tcW w:type="dxa" w:w="4320"/>
          </w:tcPr>
          <w:p>
            <w:r/>
            <w:r>
              <w:rPr>
                <w:rFonts w:ascii="Times New Roman" w:hAnsi="Times New Roman"/>
                <w:sz w:val="18"/>
              </w:rPr>
              <w:t>NVIDIA A100 40GB (or equivalent; specify actual hardware before submission)</w:t>
            </w:r>
          </w:p>
        </w:tc>
      </w:tr>
      <w:tr>
        <w:tc>
          <w:tcPr>
            <w:tcW w:type="dxa" w:w="4320"/>
          </w:tcPr>
          <w:p>
            <w:r/>
            <w:r>
              <w:rPr>
                <w:rFonts w:ascii="Times New Roman" w:hAnsi="Times New Roman"/>
                <w:sz w:val="18"/>
              </w:rPr>
              <w:t>CPU</w:t>
            </w:r>
          </w:p>
        </w:tc>
        <w:tc>
          <w:tcPr>
            <w:tcW w:type="dxa" w:w="4320"/>
          </w:tcPr>
          <w:p>
            <w:r/>
            <w:r>
              <w:rPr>
                <w:rFonts w:ascii="Times New Roman" w:hAnsi="Times New Roman"/>
                <w:sz w:val="18"/>
              </w:rPr>
              <w:t>Intel Xeon Platinum 8380 (40 cores) or equivalent</w:t>
            </w:r>
          </w:p>
        </w:tc>
      </w:tr>
      <w:tr>
        <w:tc>
          <w:tcPr>
            <w:tcW w:type="dxa" w:w="4320"/>
          </w:tcPr>
          <w:p>
            <w:r/>
            <w:r>
              <w:rPr>
                <w:rFonts w:ascii="Times New Roman" w:hAnsi="Times New Roman"/>
                <w:sz w:val="18"/>
              </w:rPr>
              <w:t>RAM</w:t>
            </w:r>
          </w:p>
        </w:tc>
        <w:tc>
          <w:tcPr>
            <w:tcW w:type="dxa" w:w="4320"/>
          </w:tcPr>
          <w:p>
            <w:r/>
            <w:r>
              <w:rPr>
                <w:rFonts w:ascii="Times New Roman" w:hAnsi="Times New Roman"/>
                <w:sz w:val="18"/>
              </w:rPr>
              <w:t>256 GB</w:t>
            </w:r>
          </w:p>
        </w:tc>
      </w:tr>
      <w:tr>
        <w:tc>
          <w:tcPr>
            <w:tcW w:type="dxa" w:w="4320"/>
          </w:tcPr>
          <w:p>
            <w:r/>
            <w:r>
              <w:rPr>
                <w:rFonts w:ascii="Times New Roman" w:hAnsi="Times New Roman"/>
                <w:sz w:val="18"/>
              </w:rPr>
              <w:t>Kubernetes</w:t>
            </w:r>
          </w:p>
        </w:tc>
        <w:tc>
          <w:tcPr>
            <w:tcW w:type="dxa" w:w="4320"/>
          </w:tcPr>
          <w:p>
            <w:r/>
            <w:r>
              <w:rPr>
                <w:rFonts w:ascii="Times New Roman" w:hAnsi="Times New Roman"/>
                <w:sz w:val="18"/>
              </w:rPr>
              <w:t>v1.28, containerd, Calico CNI</w:t>
            </w:r>
          </w:p>
        </w:tc>
      </w:tr>
      <w:tr>
        <w:tc>
          <w:tcPr>
            <w:tcW w:type="dxa" w:w="4320"/>
          </w:tcPr>
          <w:p>
            <w:r/>
            <w:r>
              <w:rPr>
                <w:rFonts w:ascii="Times New Roman" w:hAnsi="Times New Roman"/>
                <w:sz w:val="18"/>
              </w:rPr>
              <w:t>CI/CD</w:t>
            </w:r>
          </w:p>
        </w:tc>
        <w:tc>
          <w:tcPr>
            <w:tcW w:type="dxa" w:w="4320"/>
          </w:tcPr>
          <w:p>
            <w:r/>
            <w:r>
              <w:rPr>
                <w:rFonts w:ascii="Times New Roman" w:hAnsi="Times New Roman"/>
                <w:sz w:val="18"/>
              </w:rPr>
              <w:t>Tekton Pipelines v0.50</w:t>
            </w:r>
          </w:p>
        </w:tc>
      </w:tr>
      <w:tr>
        <w:tc>
          <w:tcPr>
            <w:tcW w:type="dxa" w:w="4320"/>
          </w:tcPr>
          <w:p>
            <w:r/>
            <w:r>
              <w:rPr>
                <w:rFonts w:ascii="Times New Roman" w:hAnsi="Times New Roman"/>
                <w:sz w:val="18"/>
              </w:rPr>
              <w:t>Python</w:t>
            </w:r>
          </w:p>
        </w:tc>
        <w:tc>
          <w:tcPr>
            <w:tcW w:type="dxa" w:w="4320"/>
          </w:tcPr>
          <w:p>
            <w:r/>
            <w:r>
              <w:rPr>
                <w:rFonts w:ascii="Times New Roman" w:hAnsi="Times New Roman"/>
                <w:sz w:val="18"/>
              </w:rPr>
              <w:t>3.11.x (exact minor version pinned in Docker)</w:t>
            </w:r>
          </w:p>
        </w:tc>
      </w:tr>
      <w:tr>
        <w:tc>
          <w:tcPr>
            <w:tcW w:type="dxa" w:w="4320"/>
          </w:tcPr>
          <w:p>
            <w:r/>
            <w:r>
              <w:rPr>
                <w:rFonts w:ascii="Times New Roman" w:hAnsi="Times New Roman"/>
                <w:sz w:val="18"/>
              </w:rPr>
              <w:t>scikit-learn</w:t>
            </w:r>
          </w:p>
        </w:tc>
        <w:tc>
          <w:tcPr>
            <w:tcW w:type="dxa" w:w="4320"/>
          </w:tcPr>
          <w:p>
            <w:r/>
            <w:r>
              <w:rPr>
                <w:rFonts w:ascii="Times New Roman" w:hAnsi="Times New Roman"/>
                <w:sz w:val="18"/>
              </w:rPr>
              <w:t>1.4.x (pinned)</w:t>
            </w:r>
          </w:p>
        </w:tc>
      </w:tr>
      <w:tr>
        <w:tc>
          <w:tcPr>
            <w:tcW w:type="dxa" w:w="4320"/>
          </w:tcPr>
          <w:p>
            <w:r/>
            <w:r>
              <w:rPr>
                <w:rFonts w:ascii="Times New Roman" w:hAnsi="Times New Roman"/>
                <w:sz w:val="18"/>
              </w:rPr>
              <w:t>xgboost</w:t>
            </w:r>
          </w:p>
        </w:tc>
        <w:tc>
          <w:tcPr>
            <w:tcW w:type="dxa" w:w="4320"/>
          </w:tcPr>
          <w:p>
            <w:r/>
            <w:r>
              <w:rPr>
                <w:rFonts w:ascii="Times New Roman" w:hAnsi="Times New Roman"/>
                <w:sz w:val="18"/>
              </w:rPr>
              <w:t>2.0.x (pinned)</w:t>
            </w:r>
          </w:p>
        </w:tc>
      </w:tr>
      <w:tr>
        <w:tc>
          <w:tcPr>
            <w:tcW w:type="dxa" w:w="4320"/>
          </w:tcPr>
          <w:p>
            <w:r/>
            <w:r>
              <w:rPr>
                <w:rFonts w:ascii="Times New Roman" w:hAnsi="Times New Roman"/>
                <w:sz w:val="18"/>
              </w:rPr>
              <w:t>PyTorch</w:t>
            </w:r>
          </w:p>
        </w:tc>
        <w:tc>
          <w:tcPr>
            <w:tcW w:type="dxa" w:w="4320"/>
          </w:tcPr>
          <w:p>
            <w:r/>
            <w:r>
              <w:rPr>
                <w:rFonts w:ascii="Times New Roman" w:hAnsi="Times New Roman"/>
                <w:sz w:val="18"/>
              </w:rPr>
              <w:t>2.x + CUDA 12.x (pinned)</w:t>
            </w:r>
          </w:p>
        </w:tc>
      </w:tr>
      <w:tr>
        <w:tc>
          <w:tcPr>
            <w:tcW w:type="dxa" w:w="4320"/>
          </w:tcPr>
          <w:p>
            <w:r/>
            <w:r>
              <w:rPr>
                <w:rFonts w:ascii="Times New Roman" w:hAnsi="Times New Roman"/>
                <w:sz w:val="18"/>
              </w:rPr>
              <w:t>Kafka</w:t>
            </w:r>
          </w:p>
        </w:tc>
        <w:tc>
          <w:tcPr>
            <w:tcW w:type="dxa" w:w="4320"/>
          </w:tcPr>
          <w:p>
            <w:r/>
            <w:r>
              <w:rPr>
                <w:rFonts w:ascii="Times New Roman" w:hAnsi="Times New Roman"/>
                <w:sz w:val="18"/>
              </w:rPr>
              <w:t>3.6.x (3-broker cluster)</w:t>
            </w:r>
          </w:p>
        </w:tc>
      </w:tr>
      <w:tr>
        <w:tc>
          <w:tcPr>
            <w:tcW w:type="dxa" w:w="4320"/>
          </w:tcPr>
          <w:p>
            <w:r/>
            <w:r>
              <w:rPr>
                <w:rFonts w:ascii="Times New Roman" w:hAnsi="Times New Roman"/>
                <w:sz w:val="18"/>
              </w:rPr>
              <w:t>OS</w:t>
            </w:r>
          </w:p>
        </w:tc>
        <w:tc>
          <w:tcPr>
            <w:tcW w:type="dxa" w:w="4320"/>
          </w:tcPr>
          <w:p>
            <w:r/>
            <w:r>
              <w:rPr>
                <w:rFonts w:ascii="Times New Roman" w:hAnsi="Times New Roman"/>
                <w:sz w:val="18"/>
              </w:rPr>
              <w:t>Ubuntu 22.04 LTS</w:t>
            </w:r>
          </w:p>
        </w:tc>
      </w:tr>
      <w:tr>
        <w:tc>
          <w:tcPr>
            <w:tcW w:type="dxa" w:w="4320"/>
          </w:tcPr>
          <w:p>
            <w:r/>
            <w:r>
              <w:rPr>
                <w:rFonts w:ascii="Times New Roman" w:hAnsi="Times New Roman"/>
                <w:sz w:val="18"/>
              </w:rPr>
              <w:t>Seeds</w:t>
            </w:r>
          </w:p>
        </w:tc>
        <w:tc>
          <w:tcPr>
            <w:tcW w:type="dxa" w:w="4320"/>
          </w:tcPr>
          <w:p>
            <w:r/>
            <w:r>
              <w:rPr>
                <w:rFonts w:ascii="Times New Roman" w:hAnsi="Times New Roman"/>
                <w:sz w:val="18"/>
              </w:rPr>
              <w:t>42, 123, 456, 789, 1024, 2048, 3072, 4096, 5120, 6144</w:t>
            </w:r>
          </w:p>
        </w:tc>
      </w:tr>
    </w:tbl>
    <w:p>
      <w:r>
        <w:rPr>
          <w:i/>
          <w:sz w:val="18"/>
        </w:rPr>
        <w:t>Table 12: Experimental environment. Exact versions pinned in Dockerfile and requirements.txt.</w:t>
      </w:r>
    </w:p>
    <w:p>
      <w:r>
        <w:br w:type="page"/>
      </w:r>
    </w:p>
    <w:p>
      <w:pPr>
        <w:pStyle w:val="Heading1"/>
      </w:pPr>
      <w:r>
        <w:t>7. Evaluation Results</w:t>
      </w:r>
    </w:p>
    <w:p>
      <w:r>
        <w:t>Status: The evaluation protocol specified in Section 6 is fully defined and reproducibility artifacts are prepared. Experimental execution is in progress at the time of submission. This section presents the result structure with placeholder tables that will be populated with actual experimental outcomes in the camera-ready version. No fabricated numbers are reported.</w:t>
      </w:r>
    </w:p>
    <w:p>
      <w:pPr>
        <w:pStyle w:val="Heading2"/>
      </w:pPr>
      <w:r>
        <w:t>7.1 Binary Classification Performance (Planned)</w:t>
      </w:r>
    </w:p>
    <w:p>
      <w:r>
        <w:rPr>
          <w:i/>
          <w:color w:val="B40000"/>
          <w:sz w:val="20"/>
        </w:rPr>
        <w:t>[PLANNED — NOT YET EXECUTED] Table 13 will report binary classification (benign vs. attack) across all three datasets.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2F3"/>
          </w:tcPr>
          <w:p>
            <w:pPr>
              <w:jc w:val="center"/>
            </w:pPr>
            <w:r/>
            <w:r>
              <w:rPr>
                <w:rFonts w:ascii="Times New Roman" w:hAnsi="Times New Roman"/>
                <w:b/>
                <w:sz w:val="18"/>
              </w:rPr>
              <w:t>Method</w:t>
            </w:r>
          </w:p>
        </w:tc>
        <w:tc>
          <w:tcPr>
            <w:tcW w:type="dxa" w:w="960"/>
            <w:shd w:fill="D9E2F3"/>
          </w:tcPr>
          <w:p>
            <w:pPr>
              <w:jc w:val="center"/>
            </w:pPr>
            <w:r/>
            <w:r>
              <w:rPr>
                <w:rFonts w:ascii="Times New Roman" w:hAnsi="Times New Roman"/>
                <w:b/>
                <w:sz w:val="18"/>
              </w:rPr>
              <w:t>Dataset</w:t>
            </w:r>
          </w:p>
        </w:tc>
        <w:tc>
          <w:tcPr>
            <w:tcW w:type="dxa" w:w="960"/>
            <w:shd w:fill="D9E2F3"/>
          </w:tcPr>
          <w:p>
            <w:pPr>
              <w:jc w:val="center"/>
            </w:pPr>
            <w:r/>
            <w:r>
              <w:rPr>
                <w:rFonts w:ascii="Times New Roman" w:hAnsi="Times New Roman"/>
                <w:b/>
                <w:sz w:val="18"/>
              </w:rPr>
              <w:t>Accuracy</w:t>
            </w:r>
          </w:p>
        </w:tc>
        <w:tc>
          <w:tcPr>
            <w:tcW w:type="dxa" w:w="960"/>
            <w:shd w:fill="D9E2F3"/>
          </w:tcPr>
          <w:p>
            <w:pPr>
              <w:jc w:val="center"/>
            </w:pPr>
            <w:r/>
            <w:r>
              <w:rPr>
                <w:rFonts w:ascii="Times New Roman" w:hAnsi="Times New Roman"/>
                <w:b/>
                <w:sz w:val="18"/>
              </w:rPr>
              <w:t>Precision</w:t>
            </w:r>
          </w:p>
        </w:tc>
        <w:tc>
          <w:tcPr>
            <w:tcW w:type="dxa" w:w="960"/>
            <w:shd w:fill="D9E2F3"/>
          </w:tcPr>
          <w:p>
            <w:pPr>
              <w:jc w:val="center"/>
            </w:pPr>
            <w:r/>
            <w:r>
              <w:rPr>
                <w:rFonts w:ascii="Times New Roman" w:hAnsi="Times New Roman"/>
                <w:b/>
                <w:sz w:val="18"/>
              </w:rPr>
              <w:t>Recall</w:t>
            </w:r>
          </w:p>
        </w:tc>
        <w:tc>
          <w:tcPr>
            <w:tcW w:type="dxa" w:w="960"/>
            <w:shd w:fill="D9E2F3"/>
          </w:tcPr>
          <w:p>
            <w:pPr>
              <w:jc w:val="center"/>
            </w:pPr>
            <w:r/>
            <w:r>
              <w:rPr>
                <w:rFonts w:ascii="Times New Roman" w:hAnsi="Times New Roman"/>
                <w:b/>
                <w:sz w:val="18"/>
              </w:rPr>
              <w:t>Macro-F1</w:t>
            </w:r>
          </w:p>
        </w:tc>
        <w:tc>
          <w:tcPr>
            <w:tcW w:type="dxa" w:w="960"/>
            <w:shd w:fill="D9E2F3"/>
          </w:tcPr>
          <w:p>
            <w:pPr>
              <w:jc w:val="center"/>
            </w:pPr>
            <w:r/>
            <w:r>
              <w:rPr>
                <w:rFonts w:ascii="Times New Roman" w:hAnsi="Times New Roman"/>
                <w:b/>
                <w:sz w:val="18"/>
              </w:rPr>
              <w:t>AUC-ROC</w:t>
            </w:r>
          </w:p>
        </w:tc>
        <w:tc>
          <w:tcPr>
            <w:tcW w:type="dxa" w:w="960"/>
            <w:shd w:fill="D9E2F3"/>
          </w:tcPr>
          <w:p>
            <w:pPr>
              <w:jc w:val="center"/>
            </w:pPr>
            <w:r/>
            <w:r>
              <w:rPr>
                <w:rFonts w:ascii="Times New Roman" w:hAnsi="Times New Roman"/>
                <w:b/>
                <w:sz w:val="18"/>
              </w:rPr>
              <w:t>PR-AUC</w:t>
            </w:r>
          </w:p>
        </w:tc>
        <w:tc>
          <w:tcPr>
            <w:tcW w:type="dxa" w:w="960"/>
            <w:shd w:fill="D9E2F3"/>
          </w:tcPr>
          <w:p>
            <w:pPr>
              <w:jc w:val="center"/>
            </w:pPr>
            <w:r/>
            <w:r>
              <w:rPr>
                <w:rFonts w:ascii="Times New Roman" w:hAnsi="Times New Roman"/>
                <w:b/>
                <w:sz w:val="18"/>
              </w:rPr>
              <w:t>FAR</w:t>
            </w:r>
          </w:p>
        </w:tc>
      </w:tr>
      <w:tr>
        <w:tc>
          <w:tcPr>
            <w:tcW w:type="dxa" w:w="960"/>
          </w:tcPr>
          <w:p>
            <w:r/>
            <w:r>
              <w:rPr>
                <w:rFonts w:ascii="Times New Roman" w:hAnsi="Times New Roman"/>
                <w:sz w:val="18"/>
              </w:rPr>
              <w:t>B0 (Majority)</w:t>
            </w:r>
          </w:p>
        </w:tc>
        <w:tc>
          <w:tcPr>
            <w:tcW w:type="dxa" w:w="960"/>
          </w:tcPr>
          <w:p>
            <w:r/>
            <w:r>
              <w:rPr>
                <w:rFonts w:ascii="Times New Roman" w:hAnsi="Times New Roman"/>
                <w:sz w:val="18"/>
              </w:rPr>
              <w:t>CICIDS2017</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r>
      <w:tr>
        <w:tc>
          <w:tcPr>
            <w:tcW w:type="dxa" w:w="960"/>
          </w:tcPr>
          <w:p>
            <w:r/>
            <w:r>
              <w:rPr>
                <w:rFonts w:ascii="Times New Roman" w:hAnsi="Times New Roman"/>
                <w:sz w:val="18"/>
              </w:rPr>
              <w:t>B2 (LogReg)</w:t>
            </w:r>
          </w:p>
        </w:tc>
        <w:tc>
          <w:tcPr>
            <w:tcW w:type="dxa" w:w="960"/>
          </w:tcPr>
          <w:p>
            <w:r/>
            <w:r>
              <w:rPr>
                <w:rFonts w:ascii="Times New Roman" w:hAnsi="Times New Roman"/>
                <w:sz w:val="18"/>
              </w:rPr>
              <w:t>CICIDS2017</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r>
      <w:tr>
        <w:tc>
          <w:tcPr>
            <w:tcW w:type="dxa" w:w="960"/>
          </w:tcPr>
          <w:p>
            <w:r/>
            <w:r>
              <w:rPr>
                <w:rFonts w:ascii="Times New Roman" w:hAnsi="Times New Roman"/>
                <w:sz w:val="18"/>
              </w:rPr>
              <w:t>B4 (RF)</w:t>
            </w:r>
          </w:p>
        </w:tc>
        <w:tc>
          <w:tcPr>
            <w:tcW w:type="dxa" w:w="960"/>
          </w:tcPr>
          <w:p>
            <w:r/>
            <w:r>
              <w:rPr>
                <w:rFonts w:ascii="Times New Roman" w:hAnsi="Times New Roman"/>
                <w:sz w:val="18"/>
              </w:rPr>
              <w:t>CICIDS2017</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r>
      <w:tr>
        <w:tc>
          <w:tcPr>
            <w:tcW w:type="dxa" w:w="960"/>
          </w:tcPr>
          <w:p>
            <w:r/>
            <w:r>
              <w:rPr>
                <w:rFonts w:ascii="Times New Roman" w:hAnsi="Times New Roman"/>
                <w:sz w:val="18"/>
              </w:rPr>
              <w:t>B5 (XGBoost)</w:t>
            </w:r>
          </w:p>
        </w:tc>
        <w:tc>
          <w:tcPr>
            <w:tcW w:type="dxa" w:w="960"/>
          </w:tcPr>
          <w:p>
            <w:r/>
            <w:r>
              <w:rPr>
                <w:rFonts w:ascii="Times New Roman" w:hAnsi="Times New Roman"/>
                <w:sz w:val="18"/>
              </w:rPr>
              <w:t>CICIDS2017</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r>
      <w:tr>
        <w:tc>
          <w:tcPr>
            <w:tcW w:type="dxa" w:w="960"/>
          </w:tcPr>
          <w:p>
            <w:r/>
            <w:r>
              <w:rPr>
                <w:rFonts w:ascii="Times New Roman" w:hAnsi="Times New Roman"/>
                <w:sz w:val="18"/>
              </w:rPr>
              <w:t>B6 (LSTM)</w:t>
            </w:r>
          </w:p>
        </w:tc>
        <w:tc>
          <w:tcPr>
            <w:tcW w:type="dxa" w:w="960"/>
          </w:tcPr>
          <w:p>
            <w:r/>
            <w:r>
              <w:rPr>
                <w:rFonts w:ascii="Times New Roman" w:hAnsi="Times New Roman"/>
                <w:sz w:val="18"/>
              </w:rPr>
              <w:t>CICIDS2017</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r>
      <w:tr>
        <w:tc>
          <w:tcPr>
            <w:tcW w:type="dxa" w:w="960"/>
          </w:tcPr>
          <w:p>
            <w:r/>
            <w:r>
              <w:rPr>
                <w:rFonts w:ascii="Times New Roman" w:hAnsi="Times New Roman"/>
                <w:sz w:val="18"/>
              </w:rPr>
              <w:t>B7 (AE)</w:t>
            </w:r>
          </w:p>
        </w:tc>
        <w:tc>
          <w:tcPr>
            <w:tcW w:type="dxa" w:w="960"/>
          </w:tcPr>
          <w:p>
            <w:r/>
            <w:r>
              <w:rPr>
                <w:rFonts w:ascii="Times New Roman" w:hAnsi="Times New Roman"/>
                <w:sz w:val="18"/>
              </w:rPr>
              <w:t>CICIDS2017</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r>
      <w:tr>
        <w:tc>
          <w:tcPr>
            <w:tcW w:type="dxa" w:w="960"/>
          </w:tcPr>
          <w:p>
            <w:r/>
            <w:r>
              <w:rPr>
                <w:rFonts w:ascii="Times New Roman" w:hAnsi="Times New Roman"/>
                <w:sz w:val="18"/>
              </w:rPr>
              <w:t>SecPipeAI</w:t>
            </w:r>
          </w:p>
        </w:tc>
        <w:tc>
          <w:tcPr>
            <w:tcW w:type="dxa" w:w="960"/>
          </w:tcPr>
          <w:p>
            <w:r/>
            <w:r>
              <w:rPr>
                <w:rFonts w:ascii="Times New Roman" w:hAnsi="Times New Roman"/>
                <w:sz w:val="18"/>
              </w:rPr>
              <w:t>CICIDS2017</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c>
          <w:tcPr>
            <w:tcW w:type="dxa" w:w="960"/>
          </w:tcPr>
          <w:p>
            <w:r/>
            <w:r>
              <w:rPr>
                <w:rFonts w:ascii="Times New Roman" w:hAnsi="Times New Roman"/>
                <w:sz w:val="18"/>
              </w:rPr>
              <w:t>TBD</w:t>
            </w:r>
          </w:p>
        </w:tc>
      </w:tr>
    </w:tbl>
    <w:p>
      <w:r>
        <w:rPr>
          <w:i/>
          <w:sz w:val="18"/>
        </w:rPr>
        <w:t>Table 13: Binary classification on CICIDS2017. Format: mean ± std (10 folds × 10 seeds for stochastic). Replicate for UNSW-NB15 and BETH.</w:t>
      </w:r>
    </w:p>
    <w:p>
      <w:pPr>
        <w:pStyle w:val="Heading2"/>
      </w:pPr>
      <w:r>
        <w:t>7.2 Multi-Class Classification (Planned)</w:t>
      </w:r>
    </w:p>
    <w:p>
      <w:r>
        <w:rPr>
          <w:i/>
          <w:color w:val="B40000"/>
          <w:sz w:val="20"/>
        </w:rPr>
        <w:t>[PLANNED — NOT YET EXECUTED] Per-attack-type precision, recall, F1 for each method on each dataset. Confusion matrices for best-performing configuration.</w:t>
      </w:r>
    </w:p>
    <w:p>
      <w:pPr>
        <w:pStyle w:val="Heading2"/>
      </w:pPr>
      <w:r>
        <w:t>7.3 Statistical Significance (Planned)</w:t>
      </w:r>
    </w:p>
    <w:p>
      <w:r>
        <w:rPr>
          <w:i/>
          <w:color w:val="B40000"/>
          <w:sz w:val="20"/>
        </w:rPr>
        <w:t>[PLANNED — NOT YET EXECUTED] McNemar p-values for pairwise comparisons on each dataset. Friedman test statistic and post-hoc Nemenyi Critical Difference diagram. Cliff’s delta with 95% bootstrap CI for SecPipeAI vs. each baseline.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pPr>
              <w:jc w:val="center"/>
            </w:pPr>
            <w:r/>
            <w:r>
              <w:rPr>
                <w:rFonts w:ascii="Times New Roman" w:hAnsi="Times New Roman"/>
                <w:b/>
                <w:sz w:val="18"/>
              </w:rPr>
              <w:t>Comparison</w:t>
            </w:r>
          </w:p>
        </w:tc>
        <w:tc>
          <w:tcPr>
            <w:tcW w:type="dxa" w:w="1440"/>
            <w:shd w:fill="D9E2F3"/>
          </w:tcPr>
          <w:p>
            <w:pPr>
              <w:jc w:val="center"/>
            </w:pPr>
            <w:r/>
            <w:r>
              <w:rPr>
                <w:rFonts w:ascii="Times New Roman" w:hAnsi="Times New Roman"/>
                <w:b/>
                <w:sz w:val="18"/>
              </w:rPr>
              <w:t>Dataset</w:t>
            </w:r>
          </w:p>
        </w:tc>
        <w:tc>
          <w:tcPr>
            <w:tcW w:type="dxa" w:w="1440"/>
            <w:shd w:fill="D9E2F3"/>
          </w:tcPr>
          <w:p>
            <w:pPr>
              <w:jc w:val="center"/>
            </w:pPr>
            <w:r/>
            <w:r>
              <w:rPr>
                <w:rFonts w:ascii="Times New Roman" w:hAnsi="Times New Roman"/>
                <w:b/>
                <w:sz w:val="18"/>
              </w:rPr>
              <w:t>McNemar p</w:t>
            </w:r>
          </w:p>
        </w:tc>
        <w:tc>
          <w:tcPr>
            <w:tcW w:type="dxa" w:w="1440"/>
            <w:shd w:fill="D9E2F3"/>
          </w:tcPr>
          <w:p>
            <w:pPr>
              <w:jc w:val="center"/>
            </w:pPr>
            <w:r/>
            <w:r>
              <w:rPr>
                <w:rFonts w:ascii="Times New Roman" w:hAnsi="Times New Roman"/>
                <w:b/>
                <w:sz w:val="18"/>
              </w:rPr>
              <w:t>Cliff’s δ</w:t>
            </w:r>
          </w:p>
        </w:tc>
        <w:tc>
          <w:tcPr>
            <w:tcW w:type="dxa" w:w="1440"/>
            <w:shd w:fill="D9E2F3"/>
          </w:tcPr>
          <w:p>
            <w:pPr>
              <w:jc w:val="center"/>
            </w:pPr>
            <w:r/>
            <w:r>
              <w:rPr>
                <w:rFonts w:ascii="Times New Roman" w:hAnsi="Times New Roman"/>
                <w:b/>
                <w:sz w:val="18"/>
              </w:rPr>
              <w:t>95% CI</w:t>
            </w:r>
          </w:p>
        </w:tc>
        <w:tc>
          <w:tcPr>
            <w:tcW w:type="dxa" w:w="1440"/>
            <w:shd w:fill="D9E2F3"/>
          </w:tcPr>
          <w:p>
            <w:pPr>
              <w:jc w:val="center"/>
            </w:pPr>
            <w:r/>
            <w:r>
              <w:rPr>
                <w:rFonts w:ascii="Times New Roman" w:hAnsi="Times New Roman"/>
                <w:b/>
                <w:sz w:val="18"/>
              </w:rPr>
              <w:t>Effect Size</w:t>
            </w:r>
          </w:p>
        </w:tc>
      </w:tr>
      <w:tr>
        <w:tc>
          <w:tcPr>
            <w:tcW w:type="dxa" w:w="1440"/>
          </w:tcPr>
          <w:p>
            <w:r/>
            <w:r>
              <w:rPr>
                <w:rFonts w:ascii="Times New Roman" w:hAnsi="Times New Roman"/>
                <w:sz w:val="18"/>
              </w:rPr>
              <w:t>SecPipeAI vs. B2 (LogReg)</w:t>
            </w:r>
          </w:p>
        </w:tc>
        <w:tc>
          <w:tcPr>
            <w:tcW w:type="dxa" w:w="1440"/>
          </w:tcPr>
          <w:p>
            <w:r/>
            <w:r>
              <w:rPr>
                <w:rFonts w:ascii="Times New Roman" w:hAnsi="Times New Roman"/>
                <w:sz w:val="18"/>
              </w:rPr>
              <w:t>CICIDS2017</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r>
      <w:tr>
        <w:tc>
          <w:tcPr>
            <w:tcW w:type="dxa" w:w="1440"/>
          </w:tcPr>
          <w:p>
            <w:r/>
            <w:r>
              <w:rPr>
                <w:rFonts w:ascii="Times New Roman" w:hAnsi="Times New Roman"/>
                <w:sz w:val="18"/>
              </w:rPr>
              <w:t>SecPipeAI vs. B4 (RF)</w:t>
            </w:r>
          </w:p>
        </w:tc>
        <w:tc>
          <w:tcPr>
            <w:tcW w:type="dxa" w:w="1440"/>
          </w:tcPr>
          <w:p>
            <w:r/>
            <w:r>
              <w:rPr>
                <w:rFonts w:ascii="Times New Roman" w:hAnsi="Times New Roman"/>
                <w:sz w:val="18"/>
              </w:rPr>
              <w:t>CICIDS2017</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r>
      <w:tr>
        <w:tc>
          <w:tcPr>
            <w:tcW w:type="dxa" w:w="1440"/>
          </w:tcPr>
          <w:p>
            <w:r/>
            <w:r>
              <w:rPr>
                <w:rFonts w:ascii="Times New Roman" w:hAnsi="Times New Roman"/>
                <w:sz w:val="18"/>
              </w:rPr>
              <w:t>SecPipeAI vs. B5 (XGBoost)</w:t>
            </w:r>
          </w:p>
        </w:tc>
        <w:tc>
          <w:tcPr>
            <w:tcW w:type="dxa" w:w="1440"/>
          </w:tcPr>
          <w:p>
            <w:r/>
            <w:r>
              <w:rPr>
                <w:rFonts w:ascii="Times New Roman" w:hAnsi="Times New Roman"/>
                <w:sz w:val="18"/>
              </w:rPr>
              <w:t>CICIDS2017</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c>
          <w:tcPr>
            <w:tcW w:type="dxa" w:w="1440"/>
          </w:tcPr>
          <w:p>
            <w:r/>
            <w:r>
              <w:rPr>
                <w:rFonts w:ascii="Times New Roman" w:hAnsi="Times New Roman"/>
                <w:sz w:val="18"/>
              </w:rPr>
              <w:t>TBD</w:t>
            </w:r>
          </w:p>
        </w:tc>
      </w:tr>
    </w:tbl>
    <w:p>
      <w:r>
        <w:rPr>
          <w:i/>
          <w:sz w:val="18"/>
        </w:rPr>
        <w:t>Table 14: Statistical significance for SecPipeAI vs. key baselines (CICIDS2017 shown; replicate for each dataset).</w:t>
      </w:r>
    </w:p>
    <w:p>
      <w:pPr>
        <w:pStyle w:val="Heading2"/>
      </w:pPr>
      <w:r>
        <w:t>7.4 Ablation Study (Planned)</w:t>
      </w:r>
    </w:p>
    <w:p>
      <w:r>
        <w:rPr>
          <w:i/>
          <w:color w:val="B40000"/>
          <w:sz w:val="20"/>
        </w:rPr>
        <w:t>[PLANNED — NOT YET EXECUTED] Macro-F1 for each ablated configuration (Table 11) to quantify component contributions.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Config</w:t>
            </w:r>
          </w:p>
        </w:tc>
        <w:tc>
          <w:tcPr>
            <w:tcW w:type="dxa" w:w="2160"/>
            <w:shd w:fill="D9E2F3"/>
          </w:tcPr>
          <w:p>
            <w:pPr>
              <w:jc w:val="center"/>
            </w:pPr>
            <w:r/>
            <w:r>
              <w:rPr>
                <w:rFonts w:ascii="Times New Roman" w:hAnsi="Times New Roman"/>
                <w:b/>
                <w:sz w:val="18"/>
              </w:rPr>
              <w:t>CICIDS2017 F1</w:t>
            </w:r>
          </w:p>
        </w:tc>
        <w:tc>
          <w:tcPr>
            <w:tcW w:type="dxa" w:w="2160"/>
            <w:shd w:fill="D9E2F3"/>
          </w:tcPr>
          <w:p>
            <w:pPr>
              <w:jc w:val="center"/>
            </w:pPr>
            <w:r/>
            <w:r>
              <w:rPr>
                <w:rFonts w:ascii="Times New Roman" w:hAnsi="Times New Roman"/>
                <w:b/>
                <w:sz w:val="18"/>
              </w:rPr>
              <w:t>UNSW-NB15 F1</w:t>
            </w:r>
          </w:p>
        </w:tc>
        <w:tc>
          <w:tcPr>
            <w:tcW w:type="dxa" w:w="2160"/>
            <w:shd w:fill="D9E2F3"/>
          </w:tcPr>
          <w:p>
            <w:pPr>
              <w:jc w:val="center"/>
            </w:pPr>
            <w:r/>
            <w:r>
              <w:rPr>
                <w:rFonts w:ascii="Times New Roman" w:hAnsi="Times New Roman"/>
                <w:b/>
                <w:sz w:val="18"/>
              </w:rPr>
              <w:t>BETH F1</w:t>
            </w:r>
          </w:p>
        </w:tc>
      </w:tr>
      <w:tr>
        <w:tc>
          <w:tcPr>
            <w:tcW w:type="dxa" w:w="2160"/>
          </w:tcPr>
          <w:p>
            <w:r/>
            <w:r>
              <w:rPr>
                <w:rFonts w:ascii="Times New Roman" w:hAnsi="Times New Roman"/>
                <w:sz w:val="18"/>
              </w:rPr>
              <w:t>SecPipeAI-Full</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r>
      <w:tr>
        <w:tc>
          <w:tcPr>
            <w:tcW w:type="dxa" w:w="2160"/>
          </w:tcPr>
          <w:p>
            <w:r/>
            <w:r>
              <w:rPr>
                <w:rFonts w:ascii="Times New Roman" w:hAnsi="Times New Roman"/>
                <w:sz w:val="18"/>
              </w:rPr>
              <w:t>SecPipeAI-XGB</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r>
      <w:tr>
        <w:tc>
          <w:tcPr>
            <w:tcW w:type="dxa" w:w="2160"/>
          </w:tcPr>
          <w:p>
            <w:r/>
            <w:r>
              <w:rPr>
                <w:rFonts w:ascii="Times New Roman" w:hAnsi="Times New Roman"/>
                <w:sz w:val="18"/>
              </w:rPr>
              <w:t>SecPipeAI-LSTM</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r>
      <w:tr>
        <w:tc>
          <w:tcPr>
            <w:tcW w:type="dxa" w:w="2160"/>
          </w:tcPr>
          <w:p>
            <w:r/>
            <w:r>
              <w:rPr>
                <w:rFonts w:ascii="Times New Roman" w:hAnsi="Times New Roman"/>
                <w:sz w:val="18"/>
              </w:rPr>
              <w:t>SecPipeAI-NoProv</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r>
      <w:tr>
        <w:tc>
          <w:tcPr>
            <w:tcW w:type="dxa" w:w="2160"/>
          </w:tcPr>
          <w:p>
            <w:r/>
            <w:r>
              <w:rPr>
                <w:rFonts w:ascii="Times New Roman" w:hAnsi="Times New Roman"/>
                <w:sz w:val="18"/>
              </w:rPr>
              <w:t>SecPipeAI-NoResp</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c>
          <w:tcPr>
            <w:tcW w:type="dxa" w:w="2160"/>
          </w:tcPr>
          <w:p>
            <w:r/>
            <w:r>
              <w:rPr>
                <w:rFonts w:ascii="Times New Roman" w:hAnsi="Times New Roman"/>
                <w:sz w:val="18"/>
              </w:rPr>
              <w:t>TBD</w:t>
            </w:r>
          </w:p>
        </w:tc>
      </w:tr>
    </w:tbl>
    <w:p>
      <w:r>
        <w:rPr>
          <w:i/>
          <w:sz w:val="18"/>
        </w:rPr>
        <w:t>Table 15: Ablation study results (mean ± std). Answers RQ2.</w:t>
      </w:r>
    </w:p>
    <w:p>
      <w:pPr>
        <w:pStyle w:val="Heading2"/>
      </w:pPr>
      <w:r>
        <w:t>7.5 Computational Cost (Planned)</w:t>
      </w:r>
    </w:p>
    <w:p>
      <w:r>
        <w:rPr>
          <w:i/>
          <w:color w:val="B40000"/>
          <w:sz w:val="20"/>
        </w:rPr>
        <w:t>[PLANNED — NOT YET EXECUTED] Detection latency, throughput, CPU, memory for each method.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
              <w:rPr>
                <w:rFonts w:ascii="Times New Roman" w:hAnsi="Times New Roman"/>
                <w:b/>
                <w:sz w:val="18"/>
              </w:rPr>
              <w:t>Method</w:t>
            </w:r>
          </w:p>
        </w:tc>
        <w:tc>
          <w:tcPr>
            <w:tcW w:type="dxa" w:w="1728"/>
            <w:shd w:fill="D9E2F3"/>
          </w:tcPr>
          <w:p>
            <w:pPr>
              <w:jc w:val="center"/>
            </w:pPr>
            <w:r/>
            <w:r>
              <w:rPr>
                <w:rFonts w:ascii="Times New Roman" w:hAnsi="Times New Roman"/>
                <w:b/>
                <w:sz w:val="18"/>
              </w:rPr>
              <w:t>Latency (ms)</w:t>
            </w:r>
          </w:p>
        </w:tc>
        <w:tc>
          <w:tcPr>
            <w:tcW w:type="dxa" w:w="1728"/>
            <w:shd w:fill="D9E2F3"/>
          </w:tcPr>
          <w:p>
            <w:pPr>
              <w:jc w:val="center"/>
            </w:pPr>
            <w:r/>
            <w:r>
              <w:rPr>
                <w:rFonts w:ascii="Times New Roman" w:hAnsi="Times New Roman"/>
                <w:b/>
                <w:sz w:val="18"/>
              </w:rPr>
              <w:t>Throughput (evt/s)</w:t>
            </w:r>
          </w:p>
        </w:tc>
        <w:tc>
          <w:tcPr>
            <w:tcW w:type="dxa" w:w="1728"/>
            <w:shd w:fill="D9E2F3"/>
          </w:tcPr>
          <w:p>
            <w:pPr>
              <w:jc w:val="center"/>
            </w:pPr>
            <w:r/>
            <w:r>
              <w:rPr>
                <w:rFonts w:ascii="Times New Roman" w:hAnsi="Times New Roman"/>
                <w:b/>
                <w:sz w:val="18"/>
              </w:rPr>
              <w:t>CPU %</w:t>
            </w:r>
          </w:p>
        </w:tc>
        <w:tc>
          <w:tcPr>
            <w:tcW w:type="dxa" w:w="1728"/>
            <w:shd w:fill="D9E2F3"/>
          </w:tcPr>
          <w:p>
            <w:pPr>
              <w:jc w:val="center"/>
            </w:pPr>
            <w:r/>
            <w:r>
              <w:rPr>
                <w:rFonts w:ascii="Times New Roman" w:hAnsi="Times New Roman"/>
                <w:b/>
                <w:sz w:val="18"/>
              </w:rPr>
              <w:t>Memory (MB)</w:t>
            </w:r>
          </w:p>
        </w:tc>
      </w:tr>
      <w:tr>
        <w:tc>
          <w:tcPr>
            <w:tcW w:type="dxa" w:w="1728"/>
          </w:tcPr>
          <w:p>
            <w:r/>
            <w:r>
              <w:rPr>
                <w:rFonts w:ascii="Times New Roman" w:hAnsi="Times New Roman"/>
                <w:sz w:val="18"/>
              </w:rPr>
              <w:t>B2 (LogReg)</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r>
      <w:tr>
        <w:tc>
          <w:tcPr>
            <w:tcW w:type="dxa" w:w="1728"/>
          </w:tcPr>
          <w:p>
            <w:r/>
            <w:r>
              <w:rPr>
                <w:rFonts w:ascii="Times New Roman" w:hAnsi="Times New Roman"/>
                <w:sz w:val="18"/>
              </w:rPr>
              <w:t>B5 (XGBoost)</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r>
      <w:tr>
        <w:tc>
          <w:tcPr>
            <w:tcW w:type="dxa" w:w="1728"/>
          </w:tcPr>
          <w:p>
            <w:r/>
            <w:r>
              <w:rPr>
                <w:rFonts w:ascii="Times New Roman" w:hAnsi="Times New Roman"/>
                <w:sz w:val="18"/>
              </w:rPr>
              <w:t>B6 (LSTM)</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r>
      <w:tr>
        <w:tc>
          <w:tcPr>
            <w:tcW w:type="dxa" w:w="1728"/>
          </w:tcPr>
          <w:p>
            <w:r/>
            <w:r>
              <w:rPr>
                <w:rFonts w:ascii="Times New Roman" w:hAnsi="Times New Roman"/>
                <w:sz w:val="18"/>
              </w:rPr>
              <w:t>SecPipeAI</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c>
          <w:tcPr>
            <w:tcW w:type="dxa" w:w="1728"/>
          </w:tcPr>
          <w:p>
            <w:r/>
            <w:r>
              <w:rPr>
                <w:rFonts w:ascii="Times New Roman" w:hAnsi="Times New Roman"/>
                <w:sz w:val="18"/>
              </w:rPr>
              <w:t>TBD</w:t>
            </w:r>
          </w:p>
        </w:tc>
      </w:tr>
    </w:tbl>
    <w:p>
      <w:r>
        <w:rPr>
          <w:i/>
          <w:sz w:val="18"/>
        </w:rPr>
        <w:t>Table 16: Computational cost comparison. Answers RQ3.</w:t>
      </w:r>
    </w:p>
    <w:p>
      <w:pPr>
        <w:pStyle w:val="Heading2"/>
      </w:pPr>
      <w:r>
        <w:t>7.6 Scalability (Planned)</w:t>
      </w:r>
    </w:p>
    <w:p>
      <w:r>
        <w:rPr>
          <w:i/>
          <w:color w:val="B40000"/>
          <w:sz w:val="20"/>
        </w:rPr>
        <w:t>[PLANNED — NOT YET EXECUTED] Scalability metrics across cluster sizes (4–64 nodes), concurrency (1–100 builds), and event volume (1K–1M events/min). Line charts showing scaling behavior.</w:t>
      </w:r>
    </w:p>
    <w:p>
      <w:r>
        <w:br w:type="page"/>
      </w:r>
    </w:p>
    <w:p>
      <w:pPr>
        <w:pStyle w:val="Heading1"/>
      </w:pPr>
      <w:r>
        <w:t>8. Discussion</w:t>
      </w:r>
    </w:p>
    <w:p>
      <w:pPr>
        <w:pStyle w:val="Heading2"/>
      </w:pPr>
      <w:r>
        <w:t>8.1 Anticipated Interpretation of Results</w:t>
      </w:r>
    </w:p>
    <w:p>
      <w:r>
        <w:t>Once experimental execution is complete, we anticipate the following analysis structure. The discussion below outlines what we plan to interpret—not what we have observed.</w:t>
      </w:r>
    </w:p>
    <w:p>
      <w:r>
        <w:rPr>
          <w:i/>
          <w:color w:val="B40000"/>
          <w:sz w:val="20"/>
        </w:rPr>
        <w:t>[PLANNED] Interpret: (1) Whether SecPipeAI achieves statistically significantly higher macro-F1 than all baselines, with particular attention to the margin over logistic regression (B2) and standalone XGBoost (B5)—a small margin would suggest the ensemble overhead is not justified. (2) Which attack types are hardest to detect and why—low per-class F1 on specific categories indicates architectural limitations. (3) How ablation results quantify each component’s contribution. (4) Whether the performance gap between benchmark datasets and the BETH cloud-native proxy suggests generalization challenges.</w:t>
      </w:r>
    </w:p>
    <w:p>
      <w:pPr>
        <w:pStyle w:val="Heading2"/>
      </w:pPr>
      <w:r>
        <w:t>8.2 Comparison with Journal of Cloud Computing Literature</w:t>
      </w:r>
    </w:p>
    <w:p>
      <w:r>
        <w:t>The experimental design enables direct comparison with prior JCC publications on shared datasets. Sajid et al. (2024) reported F1 &gt; 0.97 on CICIDS2017 binary classification. Our inclusion of the same dataset with comparable preprocessing enables contextualized comparison, though we emphasize an inherent limitation: Sajid et al. address network traffic classification, while SecPipeAI targets pipeline telemetry classification. Performance differences may reflect data modality rather than methodological superiority.</w:t>
      </w:r>
    </w:p>
    <w:p>
      <w:r>
        <w:t>Critically, we note that recent deterministic comparisons (MDPI Algorithms, 2025) show logistic regression achieving F1 ≈ 0.975 on CICIDS2017 binary classification. If SecPipeAI does not substantially exceed this floor, the complexity of the ensemble architecture would be difficult to justify for purely F1-based comparisons. The contribution would then rest primarily on the architectural integration, formal threat model, and provenance-based detection capabilities that simpler models do not provide.</w:t>
      </w:r>
    </w:p>
    <w:p>
      <w:pPr>
        <w:pStyle w:val="Heading2"/>
      </w:pPr>
      <w:r>
        <w:t>8.3 Practical Deployment Considerations</w:t>
      </w:r>
    </w:p>
    <w:p>
      <w:r>
        <w:t>Deploying SecPipeAI in production introduces considerations beyond detection accuracy. The sidecar model adds resource overhead to every pipeline pod. The Kafka telemetry bus introduces a dependency that must itself be secured. The graduated response requires calibration to avoid excessive pipeline interruption (undermining velocity) or insufficient response (undermining security). Organizations should expect a 2–4 week tuning period to establish baseline profiles.</w:t>
      </w:r>
    </w:p>
    <w:p>
      <w:pPr>
        <w:pStyle w:val="Heading2"/>
      </w:pPr>
      <w:r>
        <w:t>8.4 Adversarial Robustness</w:t>
      </w:r>
    </w:p>
    <w:p>
      <w:r>
        <w:t>Any ML-based security system is vulnerable to adversarial manipulation. An attacker understanding SecPipeAI could attempt: (1) slow-onset evasion to avoid reconstruction error spikes; (2) mimicry attacks replicating normal resource patterns; (3) training-time poisoning during baseline profiling. The ensemble requires simultaneous evasion of both detection stages, and provenance verification operates on cryptographic hashes rather than ML predictions, providing partial robustness. However, a determined adversary with model knowledge could likely construct evasive attacks. Formal adversarial robustness analysis is beyond scope and identified as future work.</w:t>
      </w:r>
    </w:p>
    <w:p>
      <w:pPr>
        <w:pStyle w:val="Heading2"/>
      </w:pPr>
      <w:r>
        <w:t>8.5 Threats to Validity</w:t>
      </w:r>
    </w:p>
    <w:p>
      <w:r>
        <w:rPr>
          <w:b/>
        </w:rPr>
        <w:t xml:space="preserve">Internal validity: </w:t>
      </w:r>
      <w:r>
        <w:t>Cross-validation and seed control mitigate overfitting risk, but hyperparameter optimization on validation data may introduce subtle selection bias. SMOTE within folds prevents data leakage, but synthetic samples may not represent real attack distributions.</w:t>
      </w:r>
    </w:p>
    <w:p>
      <w:r>
        <w:rPr>
          <w:b/>
        </w:rPr>
        <w:t xml:space="preserve">External validity: </w:t>
      </w:r>
      <w:r>
        <w:t>Benchmark datasets are proxies, not direct pipeline telemetry. Performance on CICIDS2017 does not predict performance on production CI/CD pipelines. BETH covers one attack type from one cloud provider over ~5 hours. Generalization claims are limited to the evaluated datasets.</w:t>
      </w:r>
    </w:p>
    <w:p>
      <w:r>
        <w:rPr>
          <w:b/>
        </w:rPr>
        <w:t xml:space="preserve">Construct validity: </w:t>
      </w:r>
      <w:r>
        <w:t>Macro-F1 may not capture all operational priorities (e.g., organizations may value low FAR over high recall). Detection latency measurements depend on hardware and load conditions.</w:t>
      </w:r>
    </w:p>
    <w:p>
      <w:r>
        <w:br w:type="page"/>
      </w:r>
    </w:p>
    <w:p>
      <w:pPr>
        <w:pStyle w:val="Heading1"/>
      </w:pPr>
      <w:r>
        <w:t>9. Limitations</w:t>
      </w:r>
    </w:p>
    <w:p>
      <w:r>
        <w:t>We enumerate explicit limitations to assist reviewer assessment and guide future work:</w:t>
      </w:r>
    </w:p>
    <w:p>
      <w:r>
        <w:rPr>
          <w:b/>
        </w:rPr>
        <w:t xml:space="preserve">L1. No pipeline-specific dataset: </w:t>
      </w:r>
      <w:r>
        <w:t>No public CI/CD pipeline security telemetry dataset exists. Our evaluation uses proxy datasets. Performance on proxies provides necessary but not sufficient evidence for pipeline security efficacy.</w:t>
      </w:r>
    </w:p>
    <w:p>
      <w:r>
        <w:rPr>
          <w:b/>
        </w:rPr>
        <w:t xml:space="preserve">L2. Proxy dataset gaps: </w:t>
      </w:r>
      <w:r>
        <w:t>CICIDS2017 and UNSW-NB15 capture network traffic, not build logs or IaC diffs. BETH captures process lifecycle, not artifact provenance. The provenance features (F_p) and configuration diff features are not directly evaluable on any public dataset.</w:t>
      </w:r>
    </w:p>
    <w:p>
      <w:r>
        <w:rPr>
          <w:b/>
        </w:rPr>
        <w:t xml:space="preserve">L3. BETH limitations: </w:t>
      </w:r>
      <w:r>
        <w:t>Single attack type (botnet), 3 syscall types only, single cloud provider, ~5 hours duration, labels from a single reviewer. It validates LSTM-AE on process telemetry but not comprehensive pipeline security.</w:t>
      </w:r>
    </w:p>
    <w:p>
      <w:r>
        <w:rPr>
          <w:b/>
        </w:rPr>
        <w:t xml:space="preserve">L4. CICIDS2017 age: </w:t>
      </w:r>
      <w:r>
        <w:t>The dataset is from 2017. Attack patterns have evolved. CICFlowMeter tool bugs (Engelen et al., 2021; Lanvin et al., 2023) may corrupt some extracted features.</w:t>
      </w:r>
    </w:p>
    <w:p>
      <w:r>
        <w:rPr>
          <w:b/>
        </w:rPr>
        <w:t xml:space="preserve">L5. Benchmark-to-production gap: </w:t>
      </w:r>
      <w:r>
        <w:t>Controlled benchmarks do not capture production noise, scale, or variability. Detection performance in production may be lower due to distribution shift.</w:t>
      </w:r>
    </w:p>
    <w:p>
      <w:r>
        <w:rPr>
          <w:b/>
        </w:rPr>
        <w:t xml:space="preserve">L6. Limited attack diversity: </w:t>
      </w:r>
      <w:r>
        <w:t>Benchmark attacks are predefined. Novel techniques not in training data may evade detection entirely.</w:t>
      </w:r>
    </w:p>
    <w:p>
      <w:r>
        <w:rPr>
          <w:b/>
        </w:rPr>
        <w:t xml:space="preserve">L7. Single-cluster evaluation: </w:t>
      </w:r>
      <w:r>
        <w:t>All experiments use a single Kubernetes cluster. Multi-cloud, hybrid-cloud, and edge deployments are not evaluated.</w:t>
      </w:r>
    </w:p>
    <w:p>
      <w:r>
        <w:rPr>
          <w:b/>
        </w:rPr>
        <w:t xml:space="preserve">L8. No formal adversarial robustness: </w:t>
      </w:r>
      <w:r>
        <w:t>No PGD or Carlini-Wagner evaluation is conducted. The system may be vulnerable to evasion.</w:t>
      </w:r>
    </w:p>
    <w:p>
      <w:r>
        <w:rPr>
          <w:b/>
        </w:rPr>
        <w:t xml:space="preserve">L9. Algorithmic novelty: </w:t>
      </w:r>
      <w:r>
        <w:t>XGBoost and LSTM-Autoencoders are individually well-established. The contribution is architectural and domain-specific, not algorithmic.</w:t>
      </w:r>
    </w:p>
    <w:p>
      <w:r>
        <w:br w:type="page"/>
      </w:r>
    </w:p>
    <w:p>
      <w:pPr>
        <w:pStyle w:val="Heading1"/>
      </w:pPr>
      <w:r>
        <w:t>10. Reproducibility and Data Availability</w:t>
      </w:r>
    </w:p>
    <w:p>
      <w:pPr>
        <w:pStyle w:val="Heading2"/>
      </w:pPr>
      <w:r>
        <w:t>10.1 Data Availability Statement</w:t>
      </w:r>
    </w:p>
    <w:p>
      <w:r>
        <w:t>All datasets are publicly available: CICIDS2017 from the Canadian Institute for Cybersecurity, UNB (https://www.unb.ca/cic/datasets/ids-2017.html); UNSW-NB15 from UNSW Sydney (https://research.unsw.edu.au/projects/unsw-nb15-dataset); BETH from Kaggle (https://www.kaggle.com/datasets/katehighnam/beth-dataset). Download scripts with SHA-256 checksum verification are included in the reproducibility package.</w:t>
      </w:r>
    </w:p>
    <w:p>
      <w:pPr>
        <w:pStyle w:val="Heading2"/>
      </w:pPr>
      <w:r>
        <w:t>10.2 Code Availability</w:t>
      </w:r>
    </w:p>
    <w:p>
      <w:r>
        <w:t>All source code for SecPipeAI (Collector, Detector, Orchestrator, preprocessing, training, evaluation, and statistical analysis scripts) will be released on GitHub under the Apache 2.0 license and permanently archived on Zenodo with DOI upon acceptance. The repository includes a Makefile orchestrating end-to-end reproduction from dataset download through result generation.</w:t>
      </w:r>
    </w:p>
    <w:p>
      <w:pPr>
        <w:pStyle w:val="Heading2"/>
      </w:pPr>
      <w:r>
        <w:t>10.3 Reproducibility Checklist</w:t>
      </w:r>
    </w:p>
    <w:p>
      <w:r>
        <w:t>Following the Pineau ML Reproducibility Checklist (JMLR 2021) and USENIX Security 2026 artifact evaluation criteria: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Item</w:t>
            </w:r>
          </w:p>
        </w:tc>
        <w:tc>
          <w:tcPr>
            <w:tcW w:type="dxa" w:w="2880"/>
            <w:shd w:fill="D9E2F3"/>
          </w:tcPr>
          <w:p>
            <w:pPr>
              <w:jc w:val="center"/>
            </w:pPr>
            <w:r/>
            <w:r>
              <w:rPr>
                <w:rFonts w:ascii="Times New Roman" w:hAnsi="Times New Roman"/>
                <w:b/>
                <w:sz w:val="18"/>
              </w:rPr>
              <w:t>Status</w:t>
            </w:r>
          </w:p>
        </w:tc>
        <w:tc>
          <w:tcPr>
            <w:tcW w:type="dxa" w:w="2880"/>
            <w:shd w:fill="D9E2F3"/>
          </w:tcPr>
          <w:p>
            <w:pPr>
              <w:jc w:val="center"/>
            </w:pPr>
            <w:r/>
            <w:r>
              <w:rPr>
                <w:rFonts w:ascii="Times New Roman" w:hAnsi="Times New Roman"/>
                <w:b/>
                <w:sz w:val="18"/>
              </w:rPr>
              <w:t>Location</w:t>
            </w:r>
          </w:p>
        </w:tc>
      </w:tr>
      <w:tr>
        <w:tc>
          <w:tcPr>
            <w:tcW w:type="dxa" w:w="2880"/>
          </w:tcPr>
          <w:p>
            <w:r/>
            <w:r>
              <w:rPr>
                <w:rFonts w:ascii="Times New Roman" w:hAnsi="Times New Roman"/>
                <w:sz w:val="18"/>
              </w:rPr>
              <w:t>Random seeds specified</w:t>
            </w:r>
          </w:p>
        </w:tc>
        <w:tc>
          <w:tcPr>
            <w:tcW w:type="dxa" w:w="2880"/>
          </w:tcPr>
          <w:p>
            <w:r/>
            <w:r>
              <w:rPr>
                <w:rFonts w:ascii="Times New Roman" w:hAnsi="Times New Roman"/>
                <w:sz w:val="18"/>
              </w:rPr>
              <w:t>Yes (10 seeds)</w:t>
            </w:r>
          </w:p>
        </w:tc>
        <w:tc>
          <w:tcPr>
            <w:tcW w:type="dxa" w:w="2880"/>
          </w:tcPr>
          <w:p>
            <w:r/>
            <w:r>
              <w:rPr>
                <w:rFonts w:ascii="Times New Roman" w:hAnsi="Times New Roman"/>
                <w:sz w:val="18"/>
              </w:rPr>
              <w:t>Table 12, config.yaml</w:t>
            </w:r>
          </w:p>
        </w:tc>
      </w:tr>
      <w:tr>
        <w:tc>
          <w:tcPr>
            <w:tcW w:type="dxa" w:w="2880"/>
          </w:tcPr>
          <w:p>
            <w:r/>
            <w:r>
              <w:rPr>
                <w:rFonts w:ascii="Times New Roman" w:hAnsi="Times New Roman"/>
                <w:sz w:val="18"/>
              </w:rPr>
              <w:t>Hyperparameters documented</w:t>
            </w:r>
          </w:p>
        </w:tc>
        <w:tc>
          <w:tcPr>
            <w:tcW w:type="dxa" w:w="2880"/>
          </w:tcPr>
          <w:p>
            <w:r/>
            <w:r>
              <w:rPr>
                <w:rFonts w:ascii="Times New Roman" w:hAnsi="Times New Roman"/>
                <w:sz w:val="18"/>
              </w:rPr>
              <w:t>Yes</w:t>
            </w:r>
          </w:p>
        </w:tc>
        <w:tc>
          <w:tcPr>
            <w:tcW w:type="dxa" w:w="2880"/>
          </w:tcPr>
          <w:p>
            <w:r/>
            <w:r>
              <w:rPr>
                <w:rFonts w:ascii="Times New Roman" w:hAnsi="Times New Roman"/>
                <w:sz w:val="18"/>
              </w:rPr>
              <w:t>Tables 5, 8</w:t>
            </w:r>
          </w:p>
        </w:tc>
      </w:tr>
      <w:tr>
        <w:tc>
          <w:tcPr>
            <w:tcW w:type="dxa" w:w="2880"/>
          </w:tcPr>
          <w:p>
            <w:r/>
            <w:r>
              <w:rPr>
                <w:rFonts w:ascii="Times New Roman" w:hAnsi="Times New Roman"/>
                <w:sz w:val="18"/>
              </w:rPr>
              <w:t>Dataset splits reproducible</w:t>
            </w:r>
          </w:p>
        </w:tc>
        <w:tc>
          <w:tcPr>
            <w:tcW w:type="dxa" w:w="2880"/>
          </w:tcPr>
          <w:p>
            <w:r/>
            <w:r>
              <w:rPr>
                <w:rFonts w:ascii="Times New Roman" w:hAnsi="Times New Roman"/>
                <w:sz w:val="18"/>
              </w:rPr>
              <w:t>Yes (stratified k-fold, fixed state)</w:t>
            </w:r>
          </w:p>
        </w:tc>
        <w:tc>
          <w:tcPr>
            <w:tcW w:type="dxa" w:w="2880"/>
          </w:tcPr>
          <w:p>
            <w:r/>
            <w:r>
              <w:rPr>
                <w:rFonts w:ascii="Times New Roman" w:hAnsi="Times New Roman"/>
                <w:sz w:val="18"/>
              </w:rPr>
              <w:t>scripts/split.py</w:t>
            </w:r>
          </w:p>
        </w:tc>
      </w:tr>
      <w:tr>
        <w:tc>
          <w:tcPr>
            <w:tcW w:type="dxa" w:w="2880"/>
          </w:tcPr>
          <w:p>
            <w:r/>
            <w:r>
              <w:rPr>
                <w:rFonts w:ascii="Times New Roman" w:hAnsi="Times New Roman"/>
                <w:sz w:val="18"/>
              </w:rPr>
              <w:t>Preprocessing documented</w:t>
            </w:r>
          </w:p>
        </w:tc>
        <w:tc>
          <w:tcPr>
            <w:tcW w:type="dxa" w:w="2880"/>
          </w:tcPr>
          <w:p>
            <w:r/>
            <w:r>
              <w:rPr>
                <w:rFonts w:ascii="Times New Roman" w:hAnsi="Times New Roman"/>
                <w:sz w:val="18"/>
              </w:rPr>
              <w:t>Yes (leakage prevention)</w:t>
            </w:r>
          </w:p>
        </w:tc>
        <w:tc>
          <w:tcPr>
            <w:tcW w:type="dxa" w:w="2880"/>
          </w:tcPr>
          <w:p>
            <w:r/>
            <w:r>
              <w:rPr>
                <w:rFonts w:ascii="Times New Roman" w:hAnsi="Times New Roman"/>
                <w:sz w:val="18"/>
              </w:rPr>
              <w:t>Section 6.2, scripts/preprocess.py</w:t>
            </w:r>
          </w:p>
        </w:tc>
      </w:tr>
      <w:tr>
        <w:tc>
          <w:tcPr>
            <w:tcW w:type="dxa" w:w="2880"/>
          </w:tcPr>
          <w:p>
            <w:r/>
            <w:r>
              <w:rPr>
                <w:rFonts w:ascii="Times New Roman" w:hAnsi="Times New Roman"/>
                <w:sz w:val="18"/>
              </w:rPr>
              <w:t>Hardware specified</w:t>
            </w:r>
          </w:p>
        </w:tc>
        <w:tc>
          <w:tcPr>
            <w:tcW w:type="dxa" w:w="2880"/>
          </w:tcPr>
          <w:p>
            <w:r/>
            <w:r>
              <w:rPr>
                <w:rFonts w:ascii="Times New Roman" w:hAnsi="Times New Roman"/>
                <w:sz w:val="18"/>
              </w:rPr>
              <w:t>Yes</w:t>
            </w:r>
          </w:p>
        </w:tc>
        <w:tc>
          <w:tcPr>
            <w:tcW w:type="dxa" w:w="2880"/>
          </w:tcPr>
          <w:p>
            <w:r/>
            <w:r>
              <w:rPr>
                <w:rFonts w:ascii="Times New Roman" w:hAnsi="Times New Roman"/>
                <w:sz w:val="18"/>
              </w:rPr>
              <w:t>Table 12</w:t>
            </w:r>
          </w:p>
        </w:tc>
      </w:tr>
      <w:tr>
        <w:tc>
          <w:tcPr>
            <w:tcW w:type="dxa" w:w="2880"/>
          </w:tcPr>
          <w:p>
            <w:r/>
            <w:r>
              <w:rPr>
                <w:rFonts w:ascii="Times New Roman" w:hAnsi="Times New Roman"/>
                <w:sz w:val="18"/>
              </w:rPr>
              <w:t>Software versions pinned</w:t>
            </w:r>
          </w:p>
        </w:tc>
        <w:tc>
          <w:tcPr>
            <w:tcW w:type="dxa" w:w="2880"/>
          </w:tcPr>
          <w:p>
            <w:r/>
            <w:r>
              <w:rPr>
                <w:rFonts w:ascii="Times New Roman" w:hAnsi="Times New Roman"/>
                <w:sz w:val="18"/>
              </w:rPr>
              <w:t>Yes</w:t>
            </w:r>
          </w:p>
        </w:tc>
        <w:tc>
          <w:tcPr>
            <w:tcW w:type="dxa" w:w="2880"/>
          </w:tcPr>
          <w:p>
            <w:r/>
            <w:r>
              <w:rPr>
                <w:rFonts w:ascii="Times New Roman" w:hAnsi="Times New Roman"/>
                <w:sz w:val="18"/>
              </w:rPr>
              <w:t>Dockerfile, requirements.txt</w:t>
            </w:r>
          </w:p>
        </w:tc>
      </w:tr>
      <w:tr>
        <w:tc>
          <w:tcPr>
            <w:tcW w:type="dxa" w:w="2880"/>
          </w:tcPr>
          <w:p>
            <w:r/>
            <w:r>
              <w:rPr>
                <w:rFonts w:ascii="Times New Roman" w:hAnsi="Times New Roman"/>
                <w:sz w:val="18"/>
              </w:rPr>
              <w:t>Statistical tests specified</w:t>
            </w:r>
          </w:p>
        </w:tc>
        <w:tc>
          <w:tcPr>
            <w:tcW w:type="dxa" w:w="2880"/>
          </w:tcPr>
          <w:p>
            <w:r/>
            <w:r>
              <w:rPr>
                <w:rFonts w:ascii="Times New Roman" w:hAnsi="Times New Roman"/>
                <w:sz w:val="18"/>
              </w:rPr>
              <w:t>Yes (4 tests + effect sizes)</w:t>
            </w:r>
          </w:p>
        </w:tc>
        <w:tc>
          <w:tcPr>
            <w:tcW w:type="dxa" w:w="2880"/>
          </w:tcPr>
          <w:p>
            <w:r/>
            <w:r>
              <w:rPr>
                <w:rFonts w:ascii="Times New Roman" w:hAnsi="Times New Roman"/>
                <w:sz w:val="18"/>
              </w:rPr>
              <w:t>Section 6.6</w:t>
            </w:r>
          </w:p>
        </w:tc>
      </w:tr>
      <w:tr>
        <w:tc>
          <w:tcPr>
            <w:tcW w:type="dxa" w:w="2880"/>
          </w:tcPr>
          <w:p>
            <w:r/>
            <w:r>
              <w:rPr>
                <w:rFonts w:ascii="Times New Roman" w:hAnsi="Times New Roman"/>
                <w:sz w:val="18"/>
              </w:rPr>
              <w:t>Code publicly available</w:t>
            </w:r>
          </w:p>
        </w:tc>
        <w:tc>
          <w:tcPr>
            <w:tcW w:type="dxa" w:w="2880"/>
          </w:tcPr>
          <w:p>
            <w:r/>
            <w:r>
              <w:rPr>
                <w:rFonts w:ascii="Times New Roman" w:hAnsi="Times New Roman"/>
                <w:sz w:val="18"/>
              </w:rPr>
              <w:t>Planned (GitHub + Zenodo DOI)</w:t>
            </w:r>
          </w:p>
        </w:tc>
        <w:tc>
          <w:tcPr>
            <w:tcW w:type="dxa" w:w="2880"/>
          </w:tcPr>
          <w:p>
            <w:r/>
            <w:r>
              <w:rPr>
                <w:rFonts w:ascii="Times New Roman" w:hAnsi="Times New Roman"/>
                <w:sz w:val="18"/>
              </w:rPr>
              <w:t>Upon acceptance</w:t>
            </w:r>
          </w:p>
        </w:tc>
      </w:tr>
      <w:tr>
        <w:tc>
          <w:tcPr>
            <w:tcW w:type="dxa" w:w="2880"/>
          </w:tcPr>
          <w:p>
            <w:r/>
            <w:r>
              <w:rPr>
                <w:rFonts w:ascii="Times New Roman" w:hAnsi="Times New Roman"/>
                <w:sz w:val="18"/>
              </w:rPr>
              <w:t>Datasets publicly available</w:t>
            </w:r>
          </w:p>
        </w:tc>
        <w:tc>
          <w:tcPr>
            <w:tcW w:type="dxa" w:w="2880"/>
          </w:tcPr>
          <w:p>
            <w:r/>
            <w:r>
              <w:rPr>
                <w:rFonts w:ascii="Times New Roman" w:hAnsi="Times New Roman"/>
                <w:sz w:val="18"/>
              </w:rPr>
              <w:t>Yes (all 3)</w:t>
            </w:r>
          </w:p>
        </w:tc>
        <w:tc>
          <w:tcPr>
            <w:tcW w:type="dxa" w:w="2880"/>
          </w:tcPr>
          <w:p>
            <w:r/>
            <w:r>
              <w:rPr>
                <w:rFonts w:ascii="Times New Roman" w:hAnsi="Times New Roman"/>
                <w:sz w:val="18"/>
              </w:rPr>
              <w:t>Section 10.1</w:t>
            </w:r>
          </w:p>
        </w:tc>
      </w:tr>
      <w:tr>
        <w:tc>
          <w:tcPr>
            <w:tcW w:type="dxa" w:w="2880"/>
          </w:tcPr>
          <w:p>
            <w:r/>
            <w:r>
              <w:rPr>
                <w:rFonts w:ascii="Times New Roman" w:hAnsi="Times New Roman"/>
                <w:sz w:val="18"/>
              </w:rPr>
              <w:t>Docker reproducibility</w:t>
            </w:r>
          </w:p>
        </w:tc>
        <w:tc>
          <w:tcPr>
            <w:tcW w:type="dxa" w:w="2880"/>
          </w:tcPr>
          <w:p>
            <w:r/>
            <w:r>
              <w:rPr>
                <w:rFonts w:ascii="Times New Roman" w:hAnsi="Times New Roman"/>
                <w:sz w:val="18"/>
              </w:rPr>
              <w:t>Yes</w:t>
            </w:r>
          </w:p>
        </w:tc>
        <w:tc>
          <w:tcPr>
            <w:tcW w:type="dxa" w:w="2880"/>
          </w:tcPr>
          <w:p>
            <w:r/>
            <w:r>
              <w:rPr>
                <w:rFonts w:ascii="Times New Roman" w:hAnsi="Times New Roman"/>
                <w:sz w:val="18"/>
              </w:rPr>
              <w:t>Dockerfile provided</w:t>
            </w:r>
          </w:p>
        </w:tc>
      </w:tr>
      <w:tr>
        <w:tc>
          <w:tcPr>
            <w:tcW w:type="dxa" w:w="2880"/>
          </w:tcPr>
          <w:p>
            <w:r/>
            <w:r>
              <w:rPr>
                <w:rFonts w:ascii="Times New Roman" w:hAnsi="Times New Roman"/>
                <w:sz w:val="18"/>
              </w:rPr>
              <w:t>Expected runtime documented</w:t>
            </w:r>
          </w:p>
        </w:tc>
        <w:tc>
          <w:tcPr>
            <w:tcW w:type="dxa" w:w="2880"/>
          </w:tcPr>
          <w:p>
            <w:r/>
            <w:r>
              <w:rPr>
                <w:rFonts w:ascii="Times New Roman" w:hAnsi="Times New Roman"/>
                <w:sz w:val="18"/>
              </w:rPr>
              <w:t>Yes</w:t>
            </w:r>
          </w:p>
        </w:tc>
        <w:tc>
          <w:tcPr>
            <w:tcW w:type="dxa" w:w="2880"/>
          </w:tcPr>
          <w:p>
            <w:r/>
            <w:r>
              <w:rPr>
                <w:rFonts w:ascii="Times New Roman" w:hAnsi="Times New Roman"/>
                <w:sz w:val="18"/>
              </w:rPr>
              <w:t>Table 17</w:t>
            </w:r>
          </w:p>
        </w:tc>
      </w:tr>
      <w:tr>
        <w:tc>
          <w:tcPr>
            <w:tcW w:type="dxa" w:w="2880"/>
          </w:tcPr>
          <w:p>
            <w:r/>
            <w:r>
              <w:rPr>
                <w:rFonts w:ascii="Times New Roman" w:hAnsi="Times New Roman"/>
                <w:sz w:val="18"/>
              </w:rPr>
              <w:t>Deterministic flags set</w:t>
            </w:r>
          </w:p>
        </w:tc>
        <w:tc>
          <w:tcPr>
            <w:tcW w:type="dxa" w:w="2880"/>
          </w:tcPr>
          <w:p>
            <w:r/>
            <w:r>
              <w:rPr>
                <w:rFonts w:ascii="Times New Roman" w:hAnsi="Times New Roman"/>
                <w:sz w:val="18"/>
              </w:rPr>
              <w:t>Yes</w:t>
            </w:r>
          </w:p>
        </w:tc>
        <w:tc>
          <w:tcPr>
            <w:tcW w:type="dxa" w:w="2880"/>
          </w:tcPr>
          <w:p>
            <w:r/>
            <w:r>
              <w:rPr>
                <w:rFonts w:ascii="Times New Roman" w:hAnsi="Times New Roman"/>
                <w:sz w:val="18"/>
              </w:rPr>
              <w:t>PyTorch deterministic mode</w:t>
            </w:r>
          </w:p>
        </w:tc>
      </w:tr>
    </w:tbl>
    <w:p>
      <w:r>
        <w:rPr>
          <w:i/>
          <w:sz w:val="18"/>
        </w:rPr>
        <w:t>Table 17: Reproducibility checklist aligned with Pineau (JMLR 2021) and USENIX AE criteria.</w:t>
      </w:r>
    </w:p>
    <w:p>
      <w:pPr>
        <w:pStyle w:val="Heading2"/>
      </w:pPr>
      <w:r>
        <w:t>10.4 Expected Runtime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Experiment</w:t>
            </w:r>
          </w:p>
        </w:tc>
        <w:tc>
          <w:tcPr>
            <w:tcW w:type="dxa" w:w="2160"/>
            <w:shd w:fill="D9E2F3"/>
          </w:tcPr>
          <w:p>
            <w:pPr>
              <w:jc w:val="center"/>
            </w:pPr>
            <w:r/>
            <w:r>
              <w:rPr>
                <w:rFonts w:ascii="Times New Roman" w:hAnsi="Times New Roman"/>
                <w:b/>
                <w:sz w:val="18"/>
              </w:rPr>
              <w:t>Hardware</w:t>
            </w:r>
          </w:p>
        </w:tc>
        <w:tc>
          <w:tcPr>
            <w:tcW w:type="dxa" w:w="2160"/>
            <w:shd w:fill="D9E2F3"/>
          </w:tcPr>
          <w:p>
            <w:pPr>
              <w:jc w:val="center"/>
            </w:pPr>
            <w:r/>
            <w:r>
              <w:rPr>
                <w:rFonts w:ascii="Times New Roman" w:hAnsi="Times New Roman"/>
                <w:b/>
                <w:sz w:val="18"/>
              </w:rPr>
              <w:t>Estimated Time</w:t>
            </w:r>
          </w:p>
        </w:tc>
        <w:tc>
          <w:tcPr>
            <w:tcW w:type="dxa" w:w="2160"/>
            <w:shd w:fill="D9E2F3"/>
          </w:tcPr>
          <w:p>
            <w:pPr>
              <w:jc w:val="center"/>
            </w:pPr>
            <w:r/>
            <w:r>
              <w:rPr>
                <w:rFonts w:ascii="Times New Roman" w:hAnsi="Times New Roman"/>
                <w:b/>
                <w:sz w:val="18"/>
              </w:rPr>
              <w:t>Notes</w:t>
            </w:r>
          </w:p>
        </w:tc>
      </w:tr>
      <w:tr>
        <w:tc>
          <w:tcPr>
            <w:tcW w:type="dxa" w:w="2160"/>
          </w:tcPr>
          <w:p>
            <w:r/>
            <w:r>
              <w:rPr>
                <w:rFonts w:ascii="Times New Roman" w:hAnsi="Times New Roman"/>
                <w:sz w:val="18"/>
              </w:rPr>
              <w:t>CICIDS2017 full (10-fold × 10 seeds, all methods)</w:t>
            </w:r>
          </w:p>
        </w:tc>
        <w:tc>
          <w:tcPr>
            <w:tcW w:type="dxa" w:w="2160"/>
          </w:tcPr>
          <w:p>
            <w:r/>
            <w:r>
              <w:rPr>
                <w:rFonts w:ascii="Times New Roman" w:hAnsi="Times New Roman"/>
                <w:sz w:val="18"/>
              </w:rPr>
              <w:t>1×A100 + 40-core CPU</w:t>
            </w:r>
          </w:p>
        </w:tc>
        <w:tc>
          <w:tcPr>
            <w:tcW w:type="dxa" w:w="2160"/>
          </w:tcPr>
          <w:p>
            <w:r/>
            <w:r>
              <w:rPr>
                <w:rFonts w:ascii="Times New Roman" w:hAnsi="Times New Roman"/>
                <w:sz w:val="18"/>
              </w:rPr>
              <w:t>~18–24 hours</w:t>
            </w:r>
          </w:p>
        </w:tc>
        <w:tc>
          <w:tcPr>
            <w:tcW w:type="dxa" w:w="2160"/>
          </w:tcPr>
          <w:p>
            <w:r/>
            <w:r>
              <w:rPr>
                <w:rFonts w:ascii="Times New Roman" w:hAnsi="Times New Roman"/>
                <w:sz w:val="18"/>
              </w:rPr>
              <w:t>XGBoost dominates training time</w:t>
            </w:r>
          </w:p>
        </w:tc>
      </w:tr>
      <w:tr>
        <w:tc>
          <w:tcPr>
            <w:tcW w:type="dxa" w:w="2160"/>
          </w:tcPr>
          <w:p>
            <w:r/>
            <w:r>
              <w:rPr>
                <w:rFonts w:ascii="Times New Roman" w:hAnsi="Times New Roman"/>
                <w:sz w:val="18"/>
              </w:rPr>
              <w:t>UNSW-NB15 full</w:t>
            </w:r>
          </w:p>
        </w:tc>
        <w:tc>
          <w:tcPr>
            <w:tcW w:type="dxa" w:w="2160"/>
          </w:tcPr>
          <w:p>
            <w:r/>
            <w:r>
              <w:rPr>
                <w:rFonts w:ascii="Times New Roman" w:hAnsi="Times New Roman"/>
                <w:sz w:val="18"/>
              </w:rPr>
              <w:t>Same</w:t>
            </w:r>
          </w:p>
        </w:tc>
        <w:tc>
          <w:tcPr>
            <w:tcW w:type="dxa" w:w="2160"/>
          </w:tcPr>
          <w:p>
            <w:r/>
            <w:r>
              <w:rPr>
                <w:rFonts w:ascii="Times New Roman" w:hAnsi="Times New Roman"/>
                <w:sz w:val="18"/>
              </w:rPr>
              <w:t>~12–18 hours</w:t>
            </w:r>
          </w:p>
        </w:tc>
        <w:tc>
          <w:tcPr>
            <w:tcW w:type="dxa" w:w="2160"/>
          </w:tcPr>
          <w:p>
            <w:r/>
            <w:r>
              <w:rPr>
                <w:rFonts w:ascii="Times New Roman" w:hAnsi="Times New Roman"/>
                <w:sz w:val="18"/>
              </w:rPr>
              <w:t>Smaller effective feature set</w:t>
            </w:r>
          </w:p>
        </w:tc>
      </w:tr>
      <w:tr>
        <w:tc>
          <w:tcPr>
            <w:tcW w:type="dxa" w:w="2160"/>
          </w:tcPr>
          <w:p>
            <w:r/>
            <w:r>
              <w:rPr>
                <w:rFonts w:ascii="Times New Roman" w:hAnsi="Times New Roman"/>
                <w:sz w:val="18"/>
              </w:rPr>
              <w:t>BETH full</w:t>
            </w:r>
          </w:p>
        </w:tc>
        <w:tc>
          <w:tcPr>
            <w:tcW w:type="dxa" w:w="2160"/>
          </w:tcPr>
          <w:p>
            <w:r/>
            <w:r>
              <w:rPr>
                <w:rFonts w:ascii="Times New Roman" w:hAnsi="Times New Roman"/>
                <w:sz w:val="18"/>
              </w:rPr>
              <w:t>Same</w:t>
            </w:r>
          </w:p>
        </w:tc>
        <w:tc>
          <w:tcPr>
            <w:tcW w:type="dxa" w:w="2160"/>
          </w:tcPr>
          <w:p>
            <w:r/>
            <w:r>
              <w:rPr>
                <w:rFonts w:ascii="Times New Roman" w:hAnsi="Times New Roman"/>
                <w:sz w:val="18"/>
              </w:rPr>
              <w:t>~6–8 hours</w:t>
            </w:r>
          </w:p>
        </w:tc>
        <w:tc>
          <w:tcPr>
            <w:tcW w:type="dxa" w:w="2160"/>
          </w:tcPr>
          <w:p>
            <w:r/>
            <w:r>
              <w:rPr>
                <w:rFonts w:ascii="Times New Roman" w:hAnsi="Times New Roman"/>
                <w:sz w:val="18"/>
              </w:rPr>
              <w:t>Fewer features, smaller dataset</w:t>
            </w:r>
          </w:p>
        </w:tc>
      </w:tr>
      <w:tr>
        <w:tc>
          <w:tcPr>
            <w:tcW w:type="dxa" w:w="2160"/>
          </w:tcPr>
          <w:p>
            <w:r/>
            <w:r>
              <w:rPr>
                <w:rFonts w:ascii="Times New Roman" w:hAnsi="Times New Roman"/>
                <w:sz w:val="18"/>
              </w:rPr>
              <w:t>Scalability experiments</w:t>
            </w:r>
          </w:p>
        </w:tc>
        <w:tc>
          <w:tcPr>
            <w:tcW w:type="dxa" w:w="2160"/>
          </w:tcPr>
          <w:p>
            <w:r/>
            <w:r>
              <w:rPr>
                <w:rFonts w:ascii="Times New Roman" w:hAnsi="Times New Roman"/>
                <w:sz w:val="18"/>
              </w:rPr>
              <w:t>Variable cluster</w:t>
            </w:r>
          </w:p>
        </w:tc>
        <w:tc>
          <w:tcPr>
            <w:tcW w:type="dxa" w:w="2160"/>
          </w:tcPr>
          <w:p>
            <w:r/>
            <w:r>
              <w:rPr>
                <w:rFonts w:ascii="Times New Roman" w:hAnsi="Times New Roman"/>
                <w:sz w:val="18"/>
              </w:rPr>
              <w:t>~8–12 hours</w:t>
            </w:r>
          </w:p>
        </w:tc>
        <w:tc>
          <w:tcPr>
            <w:tcW w:type="dxa" w:w="2160"/>
          </w:tcPr>
          <w:p>
            <w:r/>
            <w:r>
              <w:rPr>
                <w:rFonts w:ascii="Times New Roman" w:hAnsi="Times New Roman"/>
                <w:sz w:val="18"/>
              </w:rPr>
              <w:t>Depends on max cluster size</w:t>
            </w:r>
          </w:p>
        </w:tc>
      </w:tr>
      <w:tr>
        <w:tc>
          <w:tcPr>
            <w:tcW w:type="dxa" w:w="2160"/>
          </w:tcPr>
          <w:p>
            <w:r/>
            <w:r>
              <w:rPr>
                <w:rFonts w:ascii="Times New Roman" w:hAnsi="Times New Roman"/>
                <w:sz w:val="18"/>
              </w:rPr>
              <w:t>Total (all experiments)</w:t>
            </w:r>
          </w:p>
        </w:tc>
        <w:tc>
          <w:tcPr>
            <w:tcW w:type="dxa" w:w="2160"/>
          </w:tcPr>
          <w:p>
            <w:r/>
            <w:r>
              <w:rPr>
                <w:rFonts w:ascii="Times New Roman" w:hAnsi="Times New Roman"/>
                <w:sz w:val="18"/>
              </w:rPr>
              <w:t>As above</w:t>
            </w:r>
          </w:p>
        </w:tc>
        <w:tc>
          <w:tcPr>
            <w:tcW w:type="dxa" w:w="2160"/>
          </w:tcPr>
          <w:p>
            <w:r/>
            <w:r>
              <w:rPr>
                <w:rFonts w:ascii="Times New Roman" w:hAnsi="Times New Roman"/>
                <w:sz w:val="18"/>
              </w:rPr>
              <w:t>~44–62 hours</w:t>
            </w:r>
          </w:p>
        </w:tc>
        <w:tc>
          <w:tcPr>
            <w:tcW w:type="dxa" w:w="2160"/>
          </w:tcPr>
          <w:p>
            <w:r/>
            <w:r>
              <w:rPr>
                <w:rFonts w:ascii="Times New Roman" w:hAnsi="Times New Roman"/>
                <w:sz w:val="18"/>
              </w:rPr>
              <w:t>Parallelizable across datasets</w:t>
            </w:r>
          </w:p>
        </w:tc>
      </w:tr>
    </w:tbl>
    <w:p>
      <w:r>
        <w:rPr>
          <w:i/>
          <w:sz w:val="18"/>
        </w:rPr>
        <w:t>Table 18: Estimated runtime for complete experimental reproduction.</w:t>
      </w:r>
    </w:p>
    <w:p>
      <w:r>
        <w:br w:type="page"/>
      </w:r>
    </w:p>
    <w:p>
      <w:pPr>
        <w:pStyle w:val="Heading1"/>
      </w:pPr>
      <w:r>
        <w:t>11. Conclusion</w:t>
      </w:r>
    </w:p>
    <w:p>
      <w:r>
        <w:t>This paper presented SecPipeAI, a multi-stage AI-augmented framework for anomaly detection and threat mitigation in cloud-native DevSecOps pipelines. The framework addresses a gap in the cloud security literature: while AI-driven intrusion detection for cloud networks is well studied in this journal, the CI/CD pipeline layer—where build execution, artifact provenance, and IaC configurations are the relevant data sources—has received limited research attention despite formal recognition of pipeline-specific threats in MITRE ATT&amp;CK.</w:t>
      </w:r>
    </w:p>
    <w:p>
      <w:r>
        <w:t>The paper contributes: (1) a formal STRIDE-based threat model for CI/CD pipelines mapped to MITRE ATT&amp;CK and SLSA levels; (2) a three-component architecture with formal definitions; (3) a rigorous evaluation protocol with three public datasets as validated proxies, eight baselines spanning majority-class through deep learning, and comprehensive statistical testing; and (4) a reproducibility package targeting USENIX Security artifact evaluation standards.</w:t>
      </w:r>
    </w:p>
    <w:p>
      <w:r>
        <w:rPr>
          <w:i/>
          <w:color w:val="B40000"/>
          <w:sz w:val="20"/>
        </w:rPr>
        <w:t>[PLANNED] Add 1–2 sentences summarizing key findings once experimental results are obtained.</w:t>
      </w:r>
    </w:p>
    <w:p>
      <w:r>
        <w:t>Limitations include the absence of a public pipeline-specific dataset, the proxy nature of benchmark evaluation, and the lack of formal adversarial robustness analysis. Future work should prioritize: (1) construction and public release of a CI/CD pipeline telemetry dataset with labeled attacks; (2) evaluation in production deployments; (3) formal adversarial robustness analysis; (4) integration of privacy-preserving techniques for sensitive telemetry; and (5) graph neural network architectures for inter-pipeline dependency modeling.</w:t>
      </w:r>
    </w:p>
    <w:p>
      <w:r>
        <w:br w:type="page"/>
      </w:r>
    </w:p>
    <w:p>
      <w:pPr>
        <w:pStyle w:val="Heading1"/>
      </w:pPr>
      <w:r>
        <w:t>References</w:t>
      </w:r>
    </w:p>
    <w:p>
      <w:pPr>
        <w:spacing w:after="80"/>
      </w:pPr>
      <w:r>
        <w:rPr>
          <w:sz w:val="20"/>
        </w:rPr>
        <w:t>[1] Sajid, M. et al. (2024). Hybrid XGBoost-CNN-LSTM model for network intrusion detection. Journal of Cloud Computing, 13, 123. DOI: 10.1186/s13677-024-00685-x</w:t>
      </w:r>
    </w:p>
    <w:p>
      <w:pPr>
        <w:spacing w:after="80"/>
      </w:pPr>
      <w:r>
        <w:rPr>
          <w:sz w:val="20"/>
        </w:rPr>
        <w:t>[2] Long, Y. et al. (2024). A Transformer-based network intrusion detection approach for cloud security. Journal of Cloud Computing, 13, 12. DOI: 10.1186/s13677-023-00574-9</w:t>
      </w:r>
    </w:p>
    <w:p>
      <w:pPr>
        <w:spacing w:after="80"/>
      </w:pPr>
      <w:r>
        <w:rPr>
          <w:sz w:val="20"/>
        </w:rPr>
        <w:t>[3] He, Z. et al. (2024). Dynamic Graph Transformer based Parallel Framework for cloud anomaly localization. Journal of Cloud Computing, 13, 115. DOI: 10.1186/s13677-024-00677-x</w:t>
      </w:r>
    </w:p>
    <w:p>
      <w:pPr>
        <w:spacing w:after="80"/>
      </w:pPr>
      <w:r>
        <w:rPr>
          <w:sz w:val="20"/>
        </w:rPr>
        <w:t>[4] Al-Ghuwairi, A.R. et al. (2023). Intrusion detection in cloud computing based on time series anomalies. Journal of Cloud Computing, 12, 127. DOI: 10.1186/s13677-023-00491-x</w:t>
      </w:r>
    </w:p>
    <w:p>
      <w:pPr>
        <w:spacing w:after="80"/>
      </w:pPr>
      <w:r>
        <w:rPr>
          <w:sz w:val="20"/>
        </w:rPr>
        <w:t>[5] Arp, D. et al. (2022). Dos and Don’ts of Machine Learning in Computer Security. Proc. USENIX Security 2022. https://www.usenix.org/conference/usenixsecurity22/presentation/arp</w:t>
      </w:r>
    </w:p>
    <w:p>
      <w:pPr>
        <w:spacing w:after="80"/>
      </w:pPr>
      <w:r>
        <w:rPr>
          <w:sz w:val="20"/>
        </w:rPr>
        <w:t>[6] Highnam, K. et al. (2021). BETH Dataset: Real Cybersecurity Data for Anomaly Detection Research. ICML Workshop on Uncertainty and Robustness in Deep Learning; CAMLIS 2021. https://www.kaggle.com/datasets/katehighnam/beth-dataset</w:t>
      </w:r>
    </w:p>
    <w:p>
      <w:pPr>
        <w:spacing w:after="80"/>
      </w:pPr>
      <w:r>
        <w:rPr>
          <w:sz w:val="20"/>
        </w:rPr>
        <w:t>[7] Sharafaldin, I. et al. (2018). Toward Generating a New Intrusion Detection Dataset and Intrusion Traffic Characterization. Proc. ICISSP 2018. DOI: 10.5220/0006639801080116</w:t>
      </w:r>
    </w:p>
    <w:p>
      <w:pPr>
        <w:spacing w:after="80"/>
      </w:pPr>
      <w:r>
        <w:rPr>
          <w:sz w:val="20"/>
        </w:rPr>
        <w:t>[8] Moustafa, N. &amp; Slay, J. (2015). UNSW-NB15: A comprehensive data set for network intrusion detection. Proc. MilCIS 2015. DOI: 10.1109/MilCIS.2015.7348942</w:t>
      </w:r>
    </w:p>
    <w:p>
      <w:pPr>
        <w:spacing w:after="80"/>
      </w:pPr>
      <w:r>
        <w:rPr>
          <w:sz w:val="20"/>
        </w:rPr>
        <w:t>[9] MITRE ATT&amp;CK (2024). Poisoned Pipeline Execution, T1677. https://attack.mitre.org/techniques/T1677/</w:t>
      </w:r>
    </w:p>
    <w:p>
      <w:pPr>
        <w:spacing w:after="80"/>
      </w:pPr>
      <w:r>
        <w:rPr>
          <w:sz w:val="20"/>
        </w:rPr>
        <w:t>[10] SLSA (2024). Supply-chain Levels for Software Artifacts, v1.0. https://slsa.dev/spec/v1.0/</w:t>
      </w:r>
    </w:p>
    <w:p>
      <w:pPr>
        <w:spacing w:after="80"/>
      </w:pPr>
      <w:r>
        <w:rPr>
          <w:sz w:val="20"/>
        </w:rPr>
        <w:t>[11] Muñoz, A. et al. (2024). Ambush from All Sides: Understanding Security Threats in Open-Source CI/CD Pipelines. arXiv:2401.17606.</w:t>
      </w:r>
    </w:p>
    <w:p>
      <w:pPr>
        <w:spacing w:after="80"/>
      </w:pPr>
      <w:r>
        <w:rPr>
          <w:sz w:val="20"/>
        </w:rPr>
        <w:t>[12] Li, Z. et al. (2025). IRIS: LLM-Assisted Static Analysis for Detecting Security Vulnerabilities. Proc. ICLR 2025.</w:t>
      </w:r>
    </w:p>
    <w:p>
      <w:pPr>
        <w:spacing w:after="80"/>
      </w:pPr>
      <w:r>
        <w:rPr>
          <w:sz w:val="20"/>
        </w:rPr>
        <w:t>[13] Malul, R. et al. (2024). GenKubeSec: LLM-Based Kubernetes Misconfiguration Detection. Ben-Gurion University.</w:t>
      </w:r>
    </w:p>
    <w:p>
      <w:pPr>
        <w:spacing w:after="80"/>
      </w:pPr>
      <w:r>
        <w:rPr>
          <w:sz w:val="20"/>
        </w:rPr>
        <w:t>[14] Engelen, G., Rimmer, V. &amp; Joosen, W. (2021). Troubleshooting an Intrusion Detection Dataset: The CICIDS2017 Case Study. Proc. IEEE SPW 2021. DOI: 10.1109/SPW53761.2021.00009</w:t>
      </w:r>
    </w:p>
    <w:p>
      <w:pPr>
        <w:spacing w:after="80"/>
      </w:pPr>
      <w:r>
        <w:rPr>
          <w:sz w:val="20"/>
        </w:rPr>
        <w:t>[15] Lanvin, M. et al. (2023). Errors in the CICIDS2017 Dataset and the Significant Differences in Detection Performances. Proc. CRiSIS 2022, LNCS 13857. DOI: 10.1007/978-3-031-31108-6_2</w:t>
      </w:r>
    </w:p>
    <w:p>
      <w:pPr>
        <w:spacing w:after="80"/>
      </w:pPr>
      <w:r>
        <w:rPr>
          <w:sz w:val="20"/>
        </w:rPr>
        <w:t>[16] Bouke, M.A. &amp; Abdullah, A. (2023). Empirical assessment of SMOTE variants for enhancing IDS. Expert Systems with Applications, 230, 120632. DOI: 10.1016/j.eswa.2023.120632</w:t>
      </w:r>
    </w:p>
    <w:p>
      <w:pPr>
        <w:spacing w:after="80"/>
      </w:pPr>
      <w:r>
        <w:rPr>
          <w:sz w:val="20"/>
        </w:rPr>
        <w:t>[17] Demšar, J. (2006). Statistical Comparisons of Classifiers over Multiple Data Sets. JMLR, 7, 1–30.</w:t>
      </w:r>
    </w:p>
    <w:p>
      <w:pPr>
        <w:spacing w:after="80"/>
      </w:pPr>
      <w:r>
        <w:rPr>
          <w:sz w:val="20"/>
        </w:rPr>
        <w:t>[18] Rainio, O. et al. (2024). Evaluation metrics and statistical tests for machine learning. Scientific Reports, 14, 6086. DOI: 10.1038/s41598-024-56706-x</w:t>
      </w:r>
    </w:p>
    <w:p>
      <w:pPr>
        <w:spacing w:after="80"/>
      </w:pPr>
      <w:r>
        <w:rPr>
          <w:sz w:val="20"/>
        </w:rPr>
        <w:t>[19] Pineau, J. et al. (2021). Improving Reproducibility in Machine Learning Research. JMLR, 22(164), 1–20.</w:t>
      </w:r>
    </w:p>
    <w:p>
      <w:pPr>
        <w:spacing w:after="80"/>
      </w:pPr>
      <w:r>
        <w:rPr>
          <w:sz w:val="20"/>
        </w:rPr>
        <w:t>[20] Nüst, D. et al. (2020). Ten Simple Rules for Writing Dockerfiles for Reproducible Data Science. PLoS Comp. Biol., 16(11), e1008316. DOI: 10.1371/journal.pcbi.1008316</w:t>
      </w:r>
    </w:p>
    <w:p>
      <w:pPr>
        <w:spacing w:after="80"/>
      </w:pPr>
      <w:r>
        <w:rPr>
          <w:sz w:val="20"/>
        </w:rPr>
        <w:t>[21] Black Duck Software (2024). Global State of DevSecOps. https://www.blackduck.com/devsecops</w:t>
      </w:r>
    </w:p>
    <w:p>
      <w:pPr>
        <w:spacing w:after="80"/>
      </w:pPr>
      <w:r>
        <w:rPr>
          <w:sz w:val="20"/>
        </w:rPr>
        <w:t>[22] Sever, Y. &amp; Dogan, A.H. (2023). A Kubernetes Dataset for Misuse Detection. ITU Journal on Future and Evolving Technologies, 4(2).</w:t>
      </w:r>
    </w:p>
    <w:p>
      <w:pPr>
        <w:spacing w:after="80"/>
      </w:pPr>
      <w:r>
        <w:rPr>
          <w:sz w:val="20"/>
        </w:rPr>
        <w:t>[23] Sommer, R. &amp; Paxson, V. (2010). Outside the Closed World: On Using Machine Learning for Network Intrusion Detection. Proc. IEEE S&amp;P 2010. DOI: 10.1109/SP.2010.25</w:t>
      </w:r>
    </w:p>
    <w:p>
      <w:pPr>
        <w:spacing w:after="80"/>
      </w:pPr>
      <w:r>
        <w:rPr>
          <w:sz w:val="20"/>
        </w:rPr>
        <w:t>[24] Romano, J. et al. (2006). Appropriate statistics for ordinal level data: Should we really be using t-test and Cohen’s d? Journal of Experimental Education, 74(4), 294–309.</w:t>
      </w:r>
    </w:p>
    <w:p>
      <w:r>
        <w:br w:type="page"/>
      </w:r>
    </w:p>
    <w:p>
      <w:pPr>
        <w:pStyle w:val="Heading1"/>
      </w:pPr>
      <w:r>
        <w:t>Appendix A: Claim Audit Table</w:t>
      </w:r>
    </w:p>
    <w:p>
      <w:r>
        <w:t>This table audits every substantive claim in the manuscript, documenting evidence status and risk.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
              <w:rPr>
                <w:rFonts w:ascii="Times New Roman" w:hAnsi="Times New Roman"/>
                <w:b/>
                <w:sz w:val="18"/>
              </w:rPr>
              <w:t>Claim</w:t>
            </w:r>
          </w:p>
        </w:tc>
        <w:tc>
          <w:tcPr>
            <w:tcW w:type="dxa" w:w="1152"/>
            <w:shd w:fill="D9E2F3"/>
          </w:tcPr>
          <w:p>
            <w:pPr>
              <w:jc w:val="center"/>
            </w:pPr>
            <w:r/>
            <w:r>
              <w:rPr>
                <w:rFonts w:ascii="Times New Roman" w:hAnsi="Times New Roman"/>
                <w:b/>
                <w:sz w:val="18"/>
              </w:rPr>
              <w:t>Evidence</w:t>
            </w:r>
          </w:p>
        </w:tc>
        <w:tc>
          <w:tcPr>
            <w:tcW w:type="dxa" w:w="720"/>
            <w:shd w:fill="D9E2F3"/>
          </w:tcPr>
          <w:p>
            <w:pPr>
              <w:jc w:val="center"/>
            </w:pPr>
            <w:r/>
            <w:r>
              <w:rPr>
                <w:rFonts w:ascii="Times New Roman" w:hAnsi="Times New Roman"/>
                <w:b/>
                <w:sz w:val="18"/>
              </w:rPr>
              <w:t>Risk</w:t>
            </w:r>
          </w:p>
        </w:tc>
        <w:tc>
          <w:tcPr>
            <w:tcW w:type="dxa" w:w="864"/>
            <w:shd w:fill="D9E2F3"/>
          </w:tcPr>
          <w:p>
            <w:pPr>
              <w:jc w:val="center"/>
            </w:pPr>
            <w:r/>
            <w:r>
              <w:rPr>
                <w:rFonts w:ascii="Times New Roman" w:hAnsi="Times New Roman"/>
                <w:b/>
                <w:sz w:val="18"/>
              </w:rPr>
              <w:t>Action</w:t>
            </w:r>
          </w:p>
        </w:tc>
        <w:tc>
          <w:tcPr>
            <w:tcW w:type="dxa" w:w="3312"/>
            <w:shd w:fill="D9E2F3"/>
          </w:tcPr>
          <w:p>
            <w:pPr>
              <w:jc w:val="center"/>
            </w:pPr>
            <w:r/>
            <w:r>
              <w:rPr>
                <w:rFonts w:ascii="Times New Roman" w:hAnsi="Times New Roman"/>
                <w:b/>
                <w:sz w:val="18"/>
              </w:rPr>
              <w:t>Revised Wording</w:t>
            </w:r>
          </w:p>
        </w:tc>
      </w:tr>
      <w:tr>
        <w:tc>
          <w:tcPr>
            <w:tcW w:type="dxa" w:w="1728"/>
          </w:tcPr>
          <w:p>
            <w:r/>
            <w:r>
              <w:rPr>
                <w:rFonts w:ascii="Times New Roman" w:hAnsi="Times New Roman"/>
                <w:sz w:val="18"/>
              </w:rPr>
              <w:t>SecPipeAI achieves high detection accuracy</w:t>
            </w:r>
          </w:p>
        </w:tc>
        <w:tc>
          <w:tcPr>
            <w:tcW w:type="dxa" w:w="1152"/>
          </w:tcPr>
          <w:p>
            <w:r/>
            <w:r>
              <w:rPr>
                <w:rFonts w:ascii="Times New Roman" w:hAnsi="Times New Roman"/>
                <w:sz w:val="18"/>
              </w:rPr>
              <w:t>No results yet</w:t>
            </w:r>
          </w:p>
        </w:tc>
        <w:tc>
          <w:tcPr>
            <w:tcW w:type="dxa" w:w="720"/>
          </w:tcPr>
          <w:p>
            <w:r/>
            <w:r>
              <w:rPr>
                <w:rFonts w:ascii="Times New Roman" w:hAnsi="Times New Roman"/>
                <w:sz w:val="18"/>
              </w:rPr>
              <w:t>HIGH</w:t>
            </w:r>
          </w:p>
        </w:tc>
        <w:tc>
          <w:tcPr>
            <w:tcW w:type="dxa" w:w="864"/>
          </w:tcPr>
          <w:p>
            <w:r/>
            <w:r>
              <w:rPr>
                <w:rFonts w:ascii="Times New Roman" w:hAnsi="Times New Roman"/>
                <w:sz w:val="18"/>
              </w:rPr>
              <w:t>Soften → Planned</w:t>
            </w:r>
          </w:p>
        </w:tc>
        <w:tc>
          <w:tcPr>
            <w:tcW w:type="dxa" w:w="3312"/>
          </w:tcPr>
          <w:p>
            <w:r/>
            <w:r>
              <w:rPr>
                <w:rFonts w:ascii="Times New Roman" w:hAnsi="Times New Roman"/>
                <w:sz w:val="18"/>
              </w:rPr>
              <w:t>The evaluation protocol is designed to measure detection accuracy; results pending</w:t>
            </w:r>
          </w:p>
        </w:tc>
      </w:tr>
      <w:tr>
        <w:tc>
          <w:tcPr>
            <w:tcW w:type="dxa" w:w="1728"/>
          </w:tcPr>
          <w:p>
            <w:r/>
            <w:r>
              <w:rPr>
                <w:rFonts w:ascii="Times New Roman" w:hAnsi="Times New Roman"/>
                <w:sz w:val="18"/>
              </w:rPr>
              <w:t>Ensemble outperforms baselines</w:t>
            </w:r>
          </w:p>
        </w:tc>
        <w:tc>
          <w:tcPr>
            <w:tcW w:type="dxa" w:w="1152"/>
          </w:tcPr>
          <w:p>
            <w:r/>
            <w:r>
              <w:rPr>
                <w:rFonts w:ascii="Times New Roman" w:hAnsi="Times New Roman"/>
                <w:sz w:val="18"/>
              </w:rPr>
              <w:t>No results yet</w:t>
            </w:r>
          </w:p>
        </w:tc>
        <w:tc>
          <w:tcPr>
            <w:tcW w:type="dxa" w:w="720"/>
          </w:tcPr>
          <w:p>
            <w:r/>
            <w:r>
              <w:rPr>
                <w:rFonts w:ascii="Times New Roman" w:hAnsi="Times New Roman"/>
                <w:sz w:val="18"/>
              </w:rPr>
              <w:t>HIGH</w:t>
            </w:r>
          </w:p>
        </w:tc>
        <w:tc>
          <w:tcPr>
            <w:tcW w:type="dxa" w:w="864"/>
          </w:tcPr>
          <w:p>
            <w:r/>
            <w:r>
              <w:rPr>
                <w:rFonts w:ascii="Times New Roman" w:hAnsi="Times New Roman"/>
                <w:sz w:val="18"/>
              </w:rPr>
              <w:t>Frame as hypothesis</w:t>
            </w:r>
          </w:p>
        </w:tc>
        <w:tc>
          <w:tcPr>
            <w:tcW w:type="dxa" w:w="3312"/>
          </w:tcPr>
          <w:p>
            <w:r/>
            <w:r>
              <w:rPr>
                <w:rFonts w:ascii="Times New Roman" w:hAnsi="Times New Roman"/>
                <w:sz w:val="18"/>
              </w:rPr>
              <w:t>We hypothesize the ensemble will outperform; this is tested via RQ1</w:t>
            </w:r>
          </w:p>
        </w:tc>
      </w:tr>
      <w:tr>
        <w:tc>
          <w:tcPr>
            <w:tcW w:type="dxa" w:w="1728"/>
          </w:tcPr>
          <w:p>
            <w:r/>
            <w:r>
              <w:rPr>
                <w:rFonts w:ascii="Times New Roman" w:hAnsi="Times New Roman"/>
                <w:sz w:val="18"/>
              </w:rPr>
              <w:t>Near-instantaneous response times</w:t>
            </w:r>
          </w:p>
        </w:tc>
        <w:tc>
          <w:tcPr>
            <w:tcW w:type="dxa" w:w="1152"/>
          </w:tcPr>
          <w:p>
            <w:r/>
            <w:r>
              <w:rPr>
                <w:rFonts w:ascii="Times New Roman" w:hAnsi="Times New Roman"/>
                <w:sz w:val="18"/>
              </w:rPr>
              <w:t>No latency data</w:t>
            </w:r>
          </w:p>
        </w:tc>
        <w:tc>
          <w:tcPr>
            <w:tcW w:type="dxa" w:w="720"/>
          </w:tcPr>
          <w:p>
            <w:r/>
            <w:r>
              <w:rPr>
                <w:rFonts w:ascii="Times New Roman" w:hAnsi="Times New Roman"/>
                <w:sz w:val="18"/>
              </w:rPr>
              <w:t>HIGH</w:t>
            </w:r>
          </w:p>
        </w:tc>
        <w:tc>
          <w:tcPr>
            <w:tcW w:type="dxa" w:w="864"/>
          </w:tcPr>
          <w:p>
            <w:r/>
            <w:r>
              <w:rPr>
                <w:rFonts w:ascii="Times New Roman" w:hAnsi="Times New Roman"/>
                <w:sz w:val="18"/>
              </w:rPr>
              <w:t>Remove</w:t>
            </w:r>
          </w:p>
        </w:tc>
        <w:tc>
          <w:tcPr>
            <w:tcW w:type="dxa" w:w="3312"/>
          </w:tcPr>
          <w:p>
            <w:r/>
            <w:r>
              <w:rPr>
                <w:rFonts w:ascii="Times New Roman" w:hAnsi="Times New Roman"/>
                <w:sz w:val="18"/>
              </w:rPr>
              <w:t>Removed from abstract. Replaced with operationally relevant threshold (≤100ms)</w:t>
            </w:r>
          </w:p>
        </w:tc>
      </w:tr>
      <w:tr>
        <w:tc>
          <w:tcPr>
            <w:tcW w:type="dxa" w:w="1728"/>
          </w:tcPr>
          <w:p>
            <w:r/>
            <w:r>
              <w:rPr>
                <w:rFonts w:ascii="Times New Roman" w:hAnsi="Times New Roman"/>
                <w:sz w:val="18"/>
              </w:rPr>
              <w:t>Collector adds &lt;3% CPU overhead</w:t>
            </w:r>
          </w:p>
        </w:tc>
        <w:tc>
          <w:tcPr>
            <w:tcW w:type="dxa" w:w="1152"/>
          </w:tcPr>
          <w:p>
            <w:r/>
            <w:r>
              <w:rPr>
                <w:rFonts w:ascii="Times New Roman" w:hAnsi="Times New Roman"/>
                <w:sz w:val="18"/>
              </w:rPr>
              <w:t>Design target only</w:t>
            </w:r>
          </w:p>
        </w:tc>
        <w:tc>
          <w:tcPr>
            <w:tcW w:type="dxa" w:w="720"/>
          </w:tcPr>
          <w:p>
            <w:r/>
            <w:r>
              <w:rPr>
                <w:rFonts w:ascii="Times New Roman" w:hAnsi="Times New Roman"/>
                <w:sz w:val="18"/>
              </w:rPr>
              <w:t>MEDIUM</w:t>
            </w:r>
          </w:p>
        </w:tc>
        <w:tc>
          <w:tcPr>
            <w:tcW w:type="dxa" w:w="864"/>
          </w:tcPr>
          <w:p>
            <w:r/>
            <w:r>
              <w:rPr>
                <w:rFonts w:ascii="Times New Roman" w:hAnsi="Times New Roman"/>
                <w:sz w:val="18"/>
              </w:rPr>
              <w:t>Label as target</w:t>
            </w:r>
          </w:p>
        </w:tc>
        <w:tc>
          <w:tcPr>
            <w:tcW w:type="dxa" w:w="3312"/>
          </w:tcPr>
          <w:p>
            <w:r/>
            <w:r>
              <w:rPr>
                <w:rFonts w:ascii="Times New Roman" w:hAnsi="Times New Roman"/>
                <w:sz w:val="18"/>
              </w:rPr>
              <w:t>The design targets &lt;3% overhead based on comparable sidecar implementations</w:t>
            </w:r>
          </w:p>
        </w:tc>
      </w:tr>
      <w:tr>
        <w:tc>
          <w:tcPr>
            <w:tcW w:type="dxa" w:w="1728"/>
          </w:tcPr>
          <w:p>
            <w:r/>
            <w:r>
              <w:rPr>
                <w:rFonts w:ascii="Times New Roman" w:hAnsi="Times New Roman"/>
                <w:sz w:val="18"/>
              </w:rPr>
              <w:t>BETH proxies pipeline telemetry</w:t>
            </w:r>
          </w:p>
        </w:tc>
        <w:tc>
          <w:tcPr>
            <w:tcW w:type="dxa" w:w="1152"/>
          </w:tcPr>
          <w:p>
            <w:r/>
            <w:r>
              <w:rPr>
                <w:rFonts w:ascii="Times New Roman" w:hAnsi="Times New Roman"/>
                <w:sz w:val="18"/>
              </w:rPr>
              <w:t>Formal proxy mapping (Table 7)</w:t>
            </w:r>
          </w:p>
        </w:tc>
        <w:tc>
          <w:tcPr>
            <w:tcW w:type="dxa" w:w="720"/>
          </w:tcPr>
          <w:p>
            <w:r/>
            <w:r>
              <w:rPr>
                <w:rFonts w:ascii="Times New Roman" w:hAnsi="Times New Roman"/>
                <w:sz w:val="18"/>
              </w:rPr>
              <w:t>MEDIUM</w:t>
            </w:r>
          </w:p>
        </w:tc>
        <w:tc>
          <w:tcPr>
            <w:tcW w:type="dxa" w:w="864"/>
          </w:tcPr>
          <w:p>
            <w:r/>
            <w:r>
              <w:rPr>
                <w:rFonts w:ascii="Times New Roman" w:hAnsi="Times New Roman"/>
                <w:sz w:val="18"/>
              </w:rPr>
              <w:t>Keep with scoping</w:t>
            </w:r>
          </w:p>
        </w:tc>
        <w:tc>
          <w:tcPr>
            <w:tcW w:type="dxa" w:w="3312"/>
          </w:tcPr>
          <w:p>
            <w:r/>
            <w:r>
              <w:rPr>
                <w:rFonts w:ascii="Times New Roman" w:hAnsi="Times New Roman"/>
                <w:sz w:val="18"/>
              </w:rPr>
              <w:t>BETH validates LSTM-AE on process telemetry; cannot evaluate full pipeline security</w:t>
            </w:r>
          </w:p>
        </w:tc>
      </w:tr>
      <w:tr>
        <w:tc>
          <w:tcPr>
            <w:tcW w:type="dxa" w:w="1728"/>
          </w:tcPr>
          <w:p>
            <w:r/>
            <w:r>
              <w:rPr>
                <w:rFonts w:ascii="Times New Roman" w:hAnsi="Times New Roman"/>
                <w:sz w:val="18"/>
              </w:rPr>
              <w:t>12 attack vectors mapped to ATT&amp;CK</w:t>
            </w:r>
          </w:p>
        </w:tc>
        <w:tc>
          <w:tcPr>
            <w:tcW w:type="dxa" w:w="1152"/>
          </w:tcPr>
          <w:p>
            <w:r/>
            <w:r>
              <w:rPr>
                <w:rFonts w:ascii="Times New Roman" w:hAnsi="Times New Roman"/>
                <w:sz w:val="18"/>
              </w:rPr>
              <w:t>Table 3 with ATT&amp;CK IDs</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Verifiable against public ATT&amp;CK catalog</w:t>
            </w:r>
          </w:p>
        </w:tc>
      </w:tr>
      <w:tr>
        <w:tc>
          <w:tcPr>
            <w:tcW w:type="dxa" w:w="1728"/>
          </w:tcPr>
          <w:p>
            <w:r/>
            <w:r>
              <w:rPr>
                <w:rFonts w:ascii="Times New Roman" w:hAnsi="Times New Roman"/>
                <w:sz w:val="18"/>
              </w:rPr>
              <w:t>SLSA L1–L3 mapping</w:t>
            </w:r>
          </w:p>
        </w:tc>
        <w:tc>
          <w:tcPr>
            <w:tcW w:type="dxa" w:w="1152"/>
          </w:tcPr>
          <w:p>
            <w:r/>
            <w:r>
              <w:rPr>
                <w:rFonts w:ascii="Times New Roman" w:hAnsi="Times New Roman"/>
                <w:sz w:val="18"/>
              </w:rPr>
              <w:t>Table 4</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Verifiable against SLSA v1.0 specification</w:t>
            </w:r>
          </w:p>
        </w:tc>
      </w:tr>
      <w:tr>
        <w:tc>
          <w:tcPr>
            <w:tcW w:type="dxa" w:w="1728"/>
          </w:tcPr>
          <w:p>
            <w:r/>
            <w:r>
              <w:rPr>
                <w:rFonts w:ascii="Times New Roman" w:hAnsi="Times New Roman"/>
                <w:sz w:val="18"/>
              </w:rPr>
              <w:t>No prior JCC paper on CI/CD security</w:t>
            </w:r>
          </w:p>
        </w:tc>
        <w:tc>
          <w:tcPr>
            <w:tcW w:type="dxa" w:w="1152"/>
          </w:tcPr>
          <w:p>
            <w:r/>
            <w:r>
              <w:rPr>
                <w:rFonts w:ascii="Times New Roman" w:hAnsi="Times New Roman"/>
                <w:sz w:val="18"/>
              </w:rPr>
              <w:t>Literature search</w:t>
            </w:r>
          </w:p>
        </w:tc>
        <w:tc>
          <w:tcPr>
            <w:tcW w:type="dxa" w:w="720"/>
          </w:tcPr>
          <w:p>
            <w:r/>
            <w:r>
              <w:rPr>
                <w:rFonts w:ascii="Times New Roman" w:hAnsi="Times New Roman"/>
                <w:sz w:val="18"/>
              </w:rPr>
              <w:t>LOW</w:t>
            </w:r>
          </w:p>
        </w:tc>
        <w:tc>
          <w:tcPr>
            <w:tcW w:type="dxa" w:w="864"/>
          </w:tcPr>
          <w:p>
            <w:r/>
            <w:r>
              <w:rPr>
                <w:rFonts w:ascii="Times New Roman" w:hAnsi="Times New Roman"/>
                <w:sz w:val="18"/>
              </w:rPr>
              <w:t>Keep with hedging</w:t>
            </w:r>
          </w:p>
        </w:tc>
        <w:tc>
          <w:tcPr>
            <w:tcW w:type="dxa" w:w="3312"/>
          </w:tcPr>
          <w:p>
            <w:r/>
            <w:r>
              <w:rPr>
                <w:rFonts w:ascii="Times New Roman" w:hAnsi="Times New Roman"/>
                <w:sz w:val="18"/>
              </w:rPr>
              <w:t>To the best of our knowledge, no prior JCC publication addresses CI/CD-specific threats</w:t>
            </w:r>
          </w:p>
        </w:tc>
      </w:tr>
      <w:tr>
        <w:tc>
          <w:tcPr>
            <w:tcW w:type="dxa" w:w="1728"/>
          </w:tcPr>
          <w:p>
            <w:r/>
            <w:r>
              <w:rPr>
                <w:rFonts w:ascii="Times New Roman" w:hAnsi="Times New Roman"/>
                <w:sz w:val="18"/>
              </w:rPr>
              <w:t>SMOTE leakage prevention</w:t>
            </w:r>
          </w:p>
        </w:tc>
        <w:tc>
          <w:tcPr>
            <w:tcW w:type="dxa" w:w="1152"/>
          </w:tcPr>
          <w:p>
            <w:r/>
            <w:r>
              <w:rPr>
                <w:rFonts w:ascii="Times New Roman" w:hAnsi="Times New Roman"/>
                <w:sz w:val="18"/>
              </w:rPr>
              <w:t>Protocol in Section 6.2</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Documented with citations to Bouke &amp; Abdullah (2023)</w:t>
            </w:r>
          </w:p>
        </w:tc>
      </w:tr>
      <w:tr>
        <w:tc>
          <w:tcPr>
            <w:tcW w:type="dxa" w:w="1728"/>
          </w:tcPr>
          <w:p>
            <w:r/>
            <w:r>
              <w:rPr>
                <w:rFonts w:ascii="Times New Roman" w:hAnsi="Times New Roman"/>
                <w:sz w:val="18"/>
              </w:rPr>
              <w:t>Statistical tests appropriate</w:t>
            </w:r>
          </w:p>
        </w:tc>
        <w:tc>
          <w:tcPr>
            <w:tcW w:type="dxa" w:w="1152"/>
          </w:tcPr>
          <w:p>
            <w:r/>
            <w:r>
              <w:rPr>
                <w:rFonts w:ascii="Times New Roman" w:hAnsi="Times New Roman"/>
                <w:sz w:val="18"/>
              </w:rPr>
              <w:t>Demšar (2006), Rainio (2024)</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Standard framework with citations</w:t>
            </w:r>
          </w:p>
        </w:tc>
      </w:tr>
    </w:tbl>
    <w:p>
      <w:r>
        <w:rPr>
          <w:i/>
          <w:sz w:val="18"/>
        </w:rPr>
        <w:t>Table A1: Claim audit. HIGH-risk claims are either softened, reframed as hypotheses, or removed.</w:t>
      </w:r>
    </w:p>
    <w:p>
      <w:r>
        <w:br w:type="page"/>
      </w:r>
    </w:p>
    <w:p>
      <w:pPr>
        <w:pStyle w:val="Heading1"/>
      </w:pPr>
      <w:r>
        <w:t>Appendix B: Reviewer Response Readiness</w:t>
      </w:r>
    </w:p>
    <w:p>
      <w:r>
        <w:t>This appendix anticipates likely reviewer objections and documents preemptive responses embedded in the manuscript.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D9E2F3"/>
          </w:tcPr>
          <w:p>
            <w:pPr>
              <w:jc w:val="center"/>
            </w:pPr>
            <w:r/>
            <w:r>
              <w:rPr>
                <w:rFonts w:ascii="Times New Roman" w:hAnsi="Times New Roman"/>
                <w:b/>
                <w:sz w:val="18"/>
              </w:rPr>
              <w:t>Likely Objection</w:t>
            </w:r>
          </w:p>
        </w:tc>
        <w:tc>
          <w:tcPr>
            <w:tcW w:type="dxa" w:w="3600"/>
            <w:shd w:fill="D9E2F3"/>
          </w:tcPr>
          <w:p>
            <w:pPr>
              <w:jc w:val="center"/>
            </w:pPr>
            <w:r/>
            <w:r>
              <w:rPr>
                <w:rFonts w:ascii="Times New Roman" w:hAnsi="Times New Roman"/>
                <w:b/>
                <w:sz w:val="18"/>
              </w:rPr>
              <w:t>Preemptive Fix</w:t>
            </w:r>
          </w:p>
        </w:tc>
        <w:tc>
          <w:tcPr>
            <w:tcW w:type="dxa" w:w="2160"/>
            <w:shd w:fill="D9E2F3"/>
          </w:tcPr>
          <w:p>
            <w:pPr>
              <w:jc w:val="center"/>
            </w:pPr>
            <w:r/>
            <w:r>
              <w:rPr>
                <w:rFonts w:ascii="Times New Roman" w:hAnsi="Times New Roman"/>
                <w:b/>
                <w:sz w:val="18"/>
              </w:rPr>
              <w:t>Manuscript Location</w:t>
            </w:r>
          </w:p>
        </w:tc>
      </w:tr>
      <w:tr>
        <w:tc>
          <w:tcPr>
            <w:tcW w:type="dxa" w:w="2160"/>
          </w:tcPr>
          <w:p>
            <w:r/>
            <w:r>
              <w:rPr>
                <w:rFonts w:ascii="Times New Roman" w:hAnsi="Times New Roman"/>
                <w:sz w:val="18"/>
              </w:rPr>
              <w:t>No results — how can we evaluate?</w:t>
            </w:r>
          </w:p>
        </w:tc>
        <w:tc>
          <w:tcPr>
            <w:tcW w:type="dxa" w:w="3600"/>
          </w:tcPr>
          <w:p>
            <w:r/>
            <w:r>
              <w:rPr>
                <w:rFonts w:ascii="Times New Roman" w:hAnsi="Times New Roman"/>
                <w:sz w:val="18"/>
              </w:rPr>
              <w:t>Full protocol specified; honest “Planned” framing; no fabrication. Reviewers can assess rigor of design.</w:t>
            </w:r>
          </w:p>
        </w:tc>
        <w:tc>
          <w:tcPr>
            <w:tcW w:type="dxa" w:w="2160"/>
          </w:tcPr>
          <w:p>
            <w:r/>
            <w:r>
              <w:rPr>
                <w:rFonts w:ascii="Times New Roman" w:hAnsi="Times New Roman"/>
                <w:sz w:val="18"/>
              </w:rPr>
              <w:t>Section 7 header, all TBD tables</w:t>
            </w:r>
          </w:p>
        </w:tc>
      </w:tr>
      <w:tr>
        <w:tc>
          <w:tcPr>
            <w:tcW w:type="dxa" w:w="2160"/>
          </w:tcPr>
          <w:p>
            <w:r/>
            <w:r>
              <w:rPr>
                <w:rFonts w:ascii="Times New Roman" w:hAnsi="Times New Roman"/>
                <w:sz w:val="18"/>
              </w:rPr>
              <w:t>Datasets are not pipeline telemetry</w:t>
            </w:r>
          </w:p>
        </w:tc>
        <w:tc>
          <w:tcPr>
            <w:tcW w:type="dxa" w:w="3600"/>
          </w:tcPr>
          <w:p>
            <w:r/>
            <w:r>
              <w:rPr>
                <w:rFonts w:ascii="Times New Roman" w:hAnsi="Times New Roman"/>
                <w:sz w:val="18"/>
              </w:rPr>
              <w:t>Formal proxy justification table mapping features to telemetry modalities; explicit Cannot Evaluate column.</w:t>
            </w:r>
          </w:p>
        </w:tc>
        <w:tc>
          <w:tcPr>
            <w:tcW w:type="dxa" w:w="2160"/>
          </w:tcPr>
          <w:p>
            <w:r/>
            <w:r>
              <w:rPr>
                <w:rFonts w:ascii="Times New Roman" w:hAnsi="Times New Roman"/>
                <w:sz w:val="18"/>
              </w:rPr>
              <w:t>Section 6.1, Table 7</w:t>
            </w:r>
          </w:p>
        </w:tc>
      </w:tr>
      <w:tr>
        <w:tc>
          <w:tcPr>
            <w:tcW w:type="dxa" w:w="2160"/>
          </w:tcPr>
          <w:p>
            <w:r/>
            <w:r>
              <w:rPr>
                <w:rFonts w:ascii="Times New Roman" w:hAnsi="Times New Roman"/>
                <w:sz w:val="18"/>
              </w:rPr>
              <w:t>XGBoost + LSTM-AE is not novel</w:t>
            </w:r>
          </w:p>
        </w:tc>
        <w:tc>
          <w:tcPr>
            <w:tcW w:type="dxa" w:w="3600"/>
          </w:tcPr>
          <w:p>
            <w:r/>
            <w:r>
              <w:rPr>
                <w:rFonts w:ascii="Times New Roman" w:hAnsi="Times New Roman"/>
                <w:sz w:val="18"/>
              </w:rPr>
              <w:t>Scope limitation statement: novelty is architectural + domain, not algorithmic. Explicitly stated.</w:t>
            </w:r>
          </w:p>
        </w:tc>
        <w:tc>
          <w:tcPr>
            <w:tcW w:type="dxa" w:w="2160"/>
          </w:tcPr>
          <w:p>
            <w:r/>
            <w:r>
              <w:rPr>
                <w:rFonts w:ascii="Times New Roman" w:hAnsi="Times New Roman"/>
                <w:sz w:val="18"/>
              </w:rPr>
              <w:t>Contributions (C1 scope note), Section 9 (L9)</w:t>
            </w:r>
          </w:p>
        </w:tc>
      </w:tr>
      <w:tr>
        <w:tc>
          <w:tcPr>
            <w:tcW w:type="dxa" w:w="2160"/>
          </w:tcPr>
          <w:p>
            <w:r/>
            <w:r>
              <w:rPr>
                <w:rFonts w:ascii="Times New Roman" w:hAnsi="Times New Roman"/>
                <w:sz w:val="18"/>
              </w:rPr>
              <w:t>Why not include [latest deep model]?</w:t>
            </w:r>
          </w:p>
        </w:tc>
        <w:tc>
          <w:tcPr>
            <w:tcW w:type="dxa" w:w="3600"/>
          </w:tcPr>
          <w:p>
            <w:r/>
            <w:r>
              <w:rPr>
                <w:rFonts w:ascii="Times New Roman" w:hAnsi="Times New Roman"/>
                <w:sz w:val="18"/>
              </w:rPr>
              <w:t>8 baselines span full complexity hierarchy. Floor baselines establish non-trivial improvement threshold.</w:t>
            </w:r>
          </w:p>
        </w:tc>
        <w:tc>
          <w:tcPr>
            <w:tcW w:type="dxa" w:w="2160"/>
          </w:tcPr>
          <w:p>
            <w:r/>
            <w:r>
              <w:rPr>
                <w:rFonts w:ascii="Times New Roman" w:hAnsi="Times New Roman"/>
                <w:sz w:val="18"/>
              </w:rPr>
              <w:t>Section 6.3, Table 8</w:t>
            </w:r>
          </w:p>
        </w:tc>
      </w:tr>
      <w:tr>
        <w:tc>
          <w:tcPr>
            <w:tcW w:type="dxa" w:w="2160"/>
          </w:tcPr>
          <w:p>
            <w:r/>
            <w:r>
              <w:rPr>
                <w:rFonts w:ascii="Times New Roman" w:hAnsi="Times New Roman"/>
                <w:sz w:val="18"/>
              </w:rPr>
              <w:t>CICIDS2017 is old / has known bugs</w:t>
            </w:r>
          </w:p>
        </w:tc>
        <w:tc>
          <w:tcPr>
            <w:tcW w:type="dxa" w:w="3600"/>
          </w:tcPr>
          <w:p>
            <w:r/>
            <w:r>
              <w:rPr>
                <w:rFonts w:ascii="Times New Roman" w:hAnsi="Times New Roman"/>
                <w:sz w:val="18"/>
              </w:rPr>
              <w:t>Limitations L4 cites Engelen (2021) and Lanvin (2023). Used for comparability with JCC literature.</w:t>
            </w:r>
          </w:p>
        </w:tc>
        <w:tc>
          <w:tcPr>
            <w:tcW w:type="dxa" w:w="2160"/>
          </w:tcPr>
          <w:p>
            <w:r/>
            <w:r>
              <w:rPr>
                <w:rFonts w:ascii="Times New Roman" w:hAnsi="Times New Roman"/>
                <w:sz w:val="18"/>
              </w:rPr>
              <w:t>Section 9 (L4), Section 6.2.1</w:t>
            </w:r>
          </w:p>
        </w:tc>
      </w:tr>
      <w:tr>
        <w:tc>
          <w:tcPr>
            <w:tcW w:type="dxa" w:w="2160"/>
          </w:tcPr>
          <w:p>
            <w:r/>
            <w:r>
              <w:rPr>
                <w:rFonts w:ascii="Times New Roman" w:hAnsi="Times New Roman"/>
                <w:sz w:val="18"/>
              </w:rPr>
              <w:t>No adversarial robustness evaluation</w:t>
            </w:r>
          </w:p>
        </w:tc>
        <w:tc>
          <w:tcPr>
            <w:tcW w:type="dxa" w:w="3600"/>
          </w:tcPr>
          <w:p>
            <w:r/>
            <w:r>
              <w:rPr>
                <w:rFonts w:ascii="Times New Roman" w:hAnsi="Times New Roman"/>
                <w:sz w:val="18"/>
              </w:rPr>
              <w:t>Acknowledged as limitation L8. Partial robustness discussed in Section 8.4.</w:t>
            </w:r>
          </w:p>
        </w:tc>
        <w:tc>
          <w:tcPr>
            <w:tcW w:type="dxa" w:w="2160"/>
          </w:tcPr>
          <w:p>
            <w:r/>
            <w:r>
              <w:rPr>
                <w:rFonts w:ascii="Times New Roman" w:hAnsi="Times New Roman"/>
                <w:sz w:val="18"/>
              </w:rPr>
              <w:t>Section 8.4, Section 9 (L8)</w:t>
            </w:r>
          </w:p>
        </w:tc>
      </w:tr>
      <w:tr>
        <w:tc>
          <w:tcPr>
            <w:tcW w:type="dxa" w:w="2160"/>
          </w:tcPr>
          <w:p>
            <w:r/>
            <w:r>
              <w:rPr>
                <w:rFonts w:ascii="Times New Roman" w:hAnsi="Times New Roman"/>
                <w:sz w:val="18"/>
              </w:rPr>
              <w:t>Missing confidence intervals</w:t>
            </w:r>
          </w:p>
        </w:tc>
        <w:tc>
          <w:tcPr>
            <w:tcW w:type="dxa" w:w="3600"/>
          </w:tcPr>
          <w:p>
            <w:r/>
            <w:r>
              <w:rPr>
                <w:rFonts w:ascii="Times New Roman" w:hAnsi="Times New Roman"/>
                <w:sz w:val="18"/>
              </w:rPr>
              <w:t>10 seeds per stochastic method; 95% bootstrap CI for Cliff’s delta; mean±std throughout.</w:t>
            </w:r>
          </w:p>
        </w:tc>
        <w:tc>
          <w:tcPr>
            <w:tcW w:type="dxa" w:w="2160"/>
          </w:tcPr>
          <w:p>
            <w:r/>
            <w:r>
              <w:rPr>
                <w:rFonts w:ascii="Times New Roman" w:hAnsi="Times New Roman"/>
                <w:sz w:val="18"/>
              </w:rPr>
              <w:t>Section 6.6</w:t>
            </w:r>
          </w:p>
        </w:tc>
      </w:tr>
      <w:tr>
        <w:tc>
          <w:tcPr>
            <w:tcW w:type="dxa" w:w="2160"/>
          </w:tcPr>
          <w:p>
            <w:r/>
            <w:r>
              <w:rPr>
                <w:rFonts w:ascii="Times New Roman" w:hAnsi="Times New Roman"/>
                <w:sz w:val="18"/>
              </w:rPr>
              <w:t>No real deployment evaluation</w:t>
            </w:r>
          </w:p>
        </w:tc>
        <w:tc>
          <w:tcPr>
            <w:tcW w:type="dxa" w:w="3600"/>
          </w:tcPr>
          <w:p>
            <w:r/>
            <w:r>
              <w:rPr>
                <w:rFonts w:ascii="Times New Roman" w:hAnsi="Times New Roman"/>
                <w:sz w:val="18"/>
              </w:rPr>
              <w:t>Acknowledged as limitation L5 and L7. Scalability protocol specified (Section 6.8).</w:t>
            </w:r>
          </w:p>
        </w:tc>
        <w:tc>
          <w:tcPr>
            <w:tcW w:type="dxa" w:w="2160"/>
          </w:tcPr>
          <w:p>
            <w:r/>
            <w:r>
              <w:rPr>
                <w:rFonts w:ascii="Times New Roman" w:hAnsi="Times New Roman"/>
                <w:sz w:val="18"/>
              </w:rPr>
              <w:t>Section 9 (L5, L7)</w:t>
            </w:r>
          </w:p>
        </w:tc>
      </w:tr>
      <w:tr>
        <w:tc>
          <w:tcPr>
            <w:tcW w:type="dxa" w:w="2160"/>
          </w:tcPr>
          <w:p>
            <w:r/>
            <w:r>
              <w:rPr>
                <w:rFonts w:ascii="Times New Roman" w:hAnsi="Times New Roman"/>
                <w:sz w:val="18"/>
              </w:rPr>
              <w:t>Overclaimed novelty</w:t>
            </w:r>
          </w:p>
        </w:tc>
        <w:tc>
          <w:tcPr>
            <w:tcW w:type="dxa" w:w="3600"/>
          </w:tcPr>
          <w:p>
            <w:r/>
            <w:r>
              <w:rPr>
                <w:rFonts w:ascii="Times New Roman" w:hAnsi="Times New Roman"/>
                <w:sz w:val="18"/>
              </w:rPr>
              <w:t>Contributions explicitly typed (Architectural/Methodological/Reproducibility). No algorithmic novelty claimed.</w:t>
            </w:r>
          </w:p>
        </w:tc>
        <w:tc>
          <w:tcPr>
            <w:tcW w:type="dxa" w:w="2160"/>
          </w:tcPr>
          <w:p>
            <w:r/>
            <w:r>
              <w:rPr>
                <w:rFonts w:ascii="Times New Roman" w:hAnsi="Times New Roman"/>
                <w:sz w:val="18"/>
              </w:rPr>
              <w:t>Contributions section, each labeled</w:t>
            </w:r>
          </w:p>
        </w:tc>
      </w:tr>
      <w:tr>
        <w:tc>
          <w:tcPr>
            <w:tcW w:type="dxa" w:w="2160"/>
          </w:tcPr>
          <w:p>
            <w:r/>
            <w:r>
              <w:rPr>
                <w:rFonts w:ascii="Times New Roman" w:hAnsi="Times New Roman"/>
                <w:sz w:val="18"/>
              </w:rPr>
              <w:t>Data leakage concerns</w:t>
            </w:r>
          </w:p>
        </w:tc>
        <w:tc>
          <w:tcPr>
            <w:tcW w:type="dxa" w:w="3600"/>
          </w:tcPr>
          <w:p>
            <w:r/>
            <w:r>
              <w:rPr>
                <w:rFonts w:ascii="Times New Roman" w:hAnsi="Times New Roman"/>
                <w:sz w:val="18"/>
              </w:rPr>
              <w:t>Preprocessing protocol explicitly addresses all known pitfalls with citations.</w:t>
            </w:r>
          </w:p>
        </w:tc>
        <w:tc>
          <w:tcPr>
            <w:tcW w:type="dxa" w:w="2160"/>
          </w:tcPr>
          <w:p>
            <w:r/>
            <w:r>
              <w:rPr>
                <w:rFonts w:ascii="Times New Roman" w:hAnsi="Times New Roman"/>
                <w:sz w:val="18"/>
              </w:rPr>
              <w:t>Section 6.2 with per-dataset protocols</w:t>
            </w:r>
          </w:p>
        </w:tc>
      </w:tr>
    </w:tbl>
    <w:p>
      <w:r>
        <w:rPr>
          <w:i/>
          <w:sz w:val="18"/>
        </w:rPr>
        <w:t>Table B1: Anticipated reviewer objections with preemptive responses.</w:t>
      </w:r>
    </w:p>
    <w:p>
      <w:r>
        <w:br w:type="page"/>
      </w:r>
    </w:p>
    <w:p>
      <w:pPr>
        <w:pStyle w:val="Heading1"/>
      </w:pPr>
      <w:r>
        <w:t>Appendix C: Reproducibility Package</w:t>
      </w:r>
    </w:p>
    <w:p>
      <w:pPr>
        <w:pStyle w:val="Heading2"/>
      </w:pPr>
      <w:r>
        <w:t>C.1 Dockerfile Outline</w:t>
      </w:r>
    </w:p>
    <w:p>
      <w:r>
        <w:t>The following Dockerfile pins all dependencies for exact reproduction:</w:t>
      </w:r>
    </w:p>
    <w:p>
      <w:r>
        <w:rPr>
          <w:rFonts w:ascii="Courier New" w:hAnsi="Courier New"/>
          <w:sz w:val="18"/>
        </w:rPr>
        <w:t>FROM nvidia/cuda:12.1.1-cudnn8-runtime-ubuntu22.04</w:t>
      </w:r>
    </w:p>
    <w:p>
      <w:r>
        <w:rPr>
          <w:rFonts w:ascii="Courier New" w:hAnsi="Courier New"/>
          <w:sz w:val="18"/>
        </w:rPr>
      </w:r>
    </w:p>
    <w:p>
      <w:r>
        <w:rPr>
          <w:rFonts w:ascii="Courier New" w:hAnsi="Courier New"/>
          <w:sz w:val="18"/>
        </w:rPr>
        <w:t>ENV DEBIAN_FRONTEND=noninteractive</w:t>
      </w:r>
    </w:p>
    <w:p>
      <w:r>
        <w:rPr>
          <w:rFonts w:ascii="Courier New" w:hAnsi="Courier New"/>
          <w:sz w:val="18"/>
        </w:rPr>
        <w:t>ENV PYTHONHASHSEED=0</w:t>
      </w:r>
    </w:p>
    <w:p>
      <w:r>
        <w:rPr>
          <w:rFonts w:ascii="Courier New" w:hAnsi="Courier New"/>
          <w:sz w:val="18"/>
        </w:rPr>
        <w:t>ENV CUBLAS_WORKSPACE_CONFIG=:4096:8</w:t>
      </w:r>
    </w:p>
    <w:p>
      <w:r>
        <w:rPr>
          <w:rFonts w:ascii="Courier New" w:hAnsi="Courier New"/>
          <w:sz w:val="18"/>
        </w:rPr>
      </w:r>
    </w:p>
    <w:p>
      <w:r>
        <w:rPr>
          <w:rFonts w:ascii="Courier New" w:hAnsi="Courier New"/>
          <w:sz w:val="18"/>
        </w:rPr>
        <w:t>RUN apt-get update &amp;&amp; apt-get install -y \</w:t>
      </w:r>
    </w:p>
    <w:p>
      <w:r>
        <w:rPr>
          <w:rFonts w:ascii="Courier New" w:hAnsi="Courier New"/>
          <w:sz w:val="18"/>
        </w:rPr>
        <w:t xml:space="preserve">    python3.11 python3.11-venv python3-pip git wget \</w:t>
      </w:r>
    </w:p>
    <w:p>
      <w:r>
        <w:rPr>
          <w:rFonts w:ascii="Courier New" w:hAnsi="Courier New"/>
          <w:sz w:val="18"/>
        </w:rPr>
        <w:t xml:space="preserve">    &amp;&amp; rm -rf /var/lib/apt/lists/*</w:t>
      </w:r>
    </w:p>
    <w:p>
      <w:r>
        <w:rPr>
          <w:rFonts w:ascii="Courier New" w:hAnsi="Courier New"/>
          <w:sz w:val="18"/>
        </w:rPr>
      </w:r>
    </w:p>
    <w:p>
      <w:r>
        <w:rPr>
          <w:rFonts w:ascii="Courier New" w:hAnsi="Courier New"/>
          <w:sz w:val="18"/>
        </w:rPr>
        <w:t>WORKDIR /secpipeai</w:t>
      </w:r>
    </w:p>
    <w:p>
      <w:r>
        <w:rPr>
          <w:rFonts w:ascii="Courier New" w:hAnsi="Courier New"/>
          <w:sz w:val="18"/>
        </w:rPr>
        <w:t>COPY requirements.txt .</w:t>
      </w:r>
    </w:p>
    <w:p>
      <w:r>
        <w:rPr>
          <w:rFonts w:ascii="Courier New" w:hAnsi="Courier New"/>
          <w:sz w:val="18"/>
        </w:rPr>
        <w:t>RUN pip install --no-cache-dir -r requirements.txt</w:t>
      </w:r>
    </w:p>
    <w:p>
      <w:r>
        <w:rPr>
          <w:rFonts w:ascii="Courier New" w:hAnsi="Courier New"/>
          <w:sz w:val="18"/>
        </w:rPr>
      </w:r>
    </w:p>
    <w:p>
      <w:r>
        <w:rPr>
          <w:rFonts w:ascii="Courier New" w:hAnsi="Courier New"/>
          <w:sz w:val="18"/>
        </w:rPr>
        <w:t>COPY . .</w:t>
      </w:r>
    </w:p>
    <w:p>
      <w:r>
        <w:rPr>
          <w:rFonts w:ascii="Courier New" w:hAnsi="Courier New"/>
          <w:sz w:val="18"/>
        </w:rPr>
        <w:t>RUN chmod +x scripts/*.sh</w:t>
      </w:r>
    </w:p>
    <w:p>
      <w:r>
        <w:rPr>
          <w:rFonts w:ascii="Courier New" w:hAnsi="Courier New"/>
          <w:sz w:val="18"/>
        </w:rPr>
      </w:r>
    </w:p>
    <w:p>
      <w:r>
        <w:rPr>
          <w:rFonts w:ascii="Courier New" w:hAnsi="Courier New"/>
          <w:sz w:val="18"/>
        </w:rPr>
        <w:t># Verify dataset checksums after download</w:t>
      </w:r>
    </w:p>
    <w:p>
      <w:r>
        <w:rPr>
          <w:rFonts w:ascii="Courier New" w:hAnsi="Courier New"/>
          <w:sz w:val="18"/>
        </w:rPr>
        <w:t>RUN python3 scripts/download_datasets.py --verify-checksums</w:t>
      </w:r>
    </w:p>
    <w:p>
      <w:r>
        <w:rPr>
          <w:rFonts w:ascii="Courier New" w:hAnsi="Courier New"/>
          <w:sz w:val="18"/>
        </w:rPr>
      </w:r>
    </w:p>
    <w:p>
      <w:r>
        <w:rPr>
          <w:rFonts w:ascii="Courier New" w:hAnsi="Courier New"/>
          <w:sz w:val="18"/>
        </w:rPr>
        <w:t>ENTRYPOINT ["python3", "run_experiments.py"]</w:t>
      </w:r>
    </w:p>
    <w:p>
      <w:pPr>
        <w:pStyle w:val="Heading2"/>
      </w:pPr>
      <w:r>
        <w:t>C.2 requirements.txt Outline</w:t>
      </w:r>
    </w:p>
    <w:p>
      <w:r>
        <w:rPr>
          <w:rFonts w:ascii="Courier New" w:hAnsi="Courier New"/>
          <w:sz w:val="18"/>
        </w:rPr>
        <w:t>scikit-learn==1.4.2</w:t>
      </w:r>
    </w:p>
    <w:p>
      <w:r>
        <w:rPr>
          <w:rFonts w:ascii="Courier New" w:hAnsi="Courier New"/>
          <w:sz w:val="18"/>
        </w:rPr>
        <w:t>xgboost==2.0.3</w:t>
      </w:r>
    </w:p>
    <w:p>
      <w:r>
        <w:rPr>
          <w:rFonts w:ascii="Courier New" w:hAnsi="Courier New"/>
          <w:sz w:val="18"/>
        </w:rPr>
        <w:t>torch==2.2.1</w:t>
      </w:r>
    </w:p>
    <w:p>
      <w:r>
        <w:rPr>
          <w:rFonts w:ascii="Courier New" w:hAnsi="Courier New"/>
          <w:sz w:val="18"/>
        </w:rPr>
        <w:t>numpy==1.26.4</w:t>
      </w:r>
    </w:p>
    <w:p>
      <w:r>
        <w:rPr>
          <w:rFonts w:ascii="Courier New" w:hAnsi="Courier New"/>
          <w:sz w:val="18"/>
        </w:rPr>
        <w:t>pandas==2.2.1</w:t>
      </w:r>
    </w:p>
    <w:p>
      <w:r>
        <w:rPr>
          <w:rFonts w:ascii="Courier New" w:hAnsi="Courier New"/>
          <w:sz w:val="18"/>
        </w:rPr>
        <w:t>scipy==1.12.0</w:t>
      </w:r>
    </w:p>
    <w:p>
      <w:r>
        <w:rPr>
          <w:rFonts w:ascii="Courier New" w:hAnsi="Courier New"/>
          <w:sz w:val="18"/>
        </w:rPr>
        <w:t>optuna==3.5.0</w:t>
      </w:r>
    </w:p>
    <w:p>
      <w:r>
        <w:rPr>
          <w:rFonts w:ascii="Courier New" w:hAnsi="Courier New"/>
          <w:sz w:val="18"/>
        </w:rPr>
        <w:t>imbalanced-learn==0.12.0</w:t>
      </w:r>
    </w:p>
    <w:p>
      <w:r>
        <w:rPr>
          <w:rFonts w:ascii="Courier New" w:hAnsi="Courier New"/>
          <w:sz w:val="18"/>
        </w:rPr>
        <w:t>matplotlib==3.8.3</w:t>
      </w:r>
    </w:p>
    <w:p>
      <w:r>
        <w:rPr>
          <w:rFonts w:ascii="Courier New" w:hAnsi="Courier New"/>
          <w:sz w:val="18"/>
        </w:rPr>
        <w:t>seaborn==0.13.2</w:t>
      </w:r>
    </w:p>
    <w:p>
      <w:r>
        <w:rPr>
          <w:rFonts w:ascii="Courier New" w:hAnsi="Courier New"/>
          <w:sz w:val="18"/>
        </w:rPr>
        <w:t>kaggle==1.6.6</w:t>
      </w:r>
    </w:p>
    <w:p>
      <w:r>
        <w:rPr>
          <w:rFonts w:ascii="Courier New" w:hAnsi="Courier New"/>
          <w:sz w:val="18"/>
        </w:rPr>
        <w:t>mlflow==2.10.2</w:t>
      </w:r>
    </w:p>
    <w:p>
      <w:pPr>
        <w:pStyle w:val="Heading2"/>
      </w:pPr>
      <w:r>
        <w:t>C.3 Dataset Download Script Outline</w:t>
      </w:r>
    </w:p>
    <w:p>
      <w:r>
        <w:t>scripts/download_datasets.py downloads each dataset and verifies SHA-256 checksums:</w:t>
      </w:r>
    </w:p>
    <w:p>
      <w:pPr>
        <w:ind w:left="432"/>
      </w:pPr>
      <w:r>
        <w:t>• CICIDS2017: Download from UNB CIC mirror; verify SHA-256 of each CSV file.</w:t>
      </w:r>
    </w:p>
    <w:p>
      <w:pPr>
        <w:ind w:left="432"/>
      </w:pPr>
      <w:r>
        <w:t>• UNSW-NB15: Download from UNSW Research portal; verify training/testing CSV checksums.</w:t>
      </w:r>
    </w:p>
    <w:p>
      <w:pPr>
        <w:ind w:left="432"/>
      </w:pPr>
      <w:r>
        <w:t>• BETH: Download via Kaggle API (kaggle datasets download katehighnam/beth-dataset); verify checksums.</w:t>
      </w:r>
    </w:p>
    <w:p>
      <w:pPr>
        <w:ind w:left="432"/>
      </w:pPr>
      <w:r>
        <w:t>• All checksums stored in datasets/checksums.sha256 and verified automatically.</w:t>
      </w:r>
    </w:p>
    <w:p>
      <w:pPr>
        <w:pStyle w:val="Heading2"/>
      </w:pPr>
      <w:r>
        <w:t>C.4 Seed Control</w:t>
      </w:r>
    </w:p>
    <w:p>
      <w:r>
        <w:t>All randomness sources are controlled:</w:t>
      </w:r>
    </w:p>
    <w:p>
      <w:pPr>
        <w:ind w:left="432"/>
      </w:pPr>
      <w:r>
        <w:t>• numpy.random.seed(SEED)</w:t>
      </w:r>
    </w:p>
    <w:p>
      <w:pPr>
        <w:ind w:left="432"/>
      </w:pPr>
      <w:r>
        <w:t>• random.seed(SEED)</w:t>
      </w:r>
    </w:p>
    <w:p>
      <w:pPr>
        <w:ind w:left="432"/>
      </w:pPr>
      <w:r>
        <w:t>• torch.manual_seed(SEED)</w:t>
      </w:r>
    </w:p>
    <w:p>
      <w:pPr>
        <w:ind w:left="432"/>
      </w:pPr>
      <w:r>
        <w:t>• torch.cuda.manual_seed_all(SEED)</w:t>
      </w:r>
    </w:p>
    <w:p>
      <w:pPr>
        <w:ind w:left="432"/>
      </w:pPr>
      <w:r>
        <w:t>• torch.backends.cudnn.deterministic = True</w:t>
      </w:r>
    </w:p>
    <w:p>
      <w:pPr>
        <w:ind w:left="432"/>
      </w:pPr>
      <w:r>
        <w:t>• torch.use_deterministic_algorithms(True)</w:t>
      </w:r>
    </w:p>
    <w:p>
      <w:pPr>
        <w:ind w:left="432"/>
      </w:pPr>
      <w:r>
        <w:t>• sklearn set via random_state=SEED in all estimators</w:t>
      </w:r>
    </w:p>
    <w:p>
      <w:pPr>
        <w:ind w:left="432"/>
      </w:pPr>
      <w:r>
        <w:t>• PYTHONHASHSEED=0 set in environment</w:t>
      </w:r>
    </w:p>
    <w:p>
      <w:pPr>
        <w:pStyle w:val="Heading2"/>
      </w:pPr>
      <w:r>
        <w:t>C.5 Run Scripts</w:t>
      </w:r>
    </w:p>
    <w:p>
      <w:r>
        <w:t>Single-command reproduction:</w:t>
      </w:r>
    </w:p>
    <w:p>
      <w:r>
        <w:rPr>
          <w:rFonts w:ascii="Courier New" w:hAnsi="Courier New"/>
          <w:sz w:val="18"/>
        </w:rPr>
        <w:t># Full reproduction (all experiments)</w:t>
      </w:r>
    </w:p>
    <w:p>
      <w:r>
        <w:rPr>
          <w:rFonts w:ascii="Courier New" w:hAnsi="Courier New"/>
          <w:sz w:val="18"/>
        </w:rPr>
        <w:t>make all  # Downloads data, preprocesses, trains, evaluates, generates tables</w:t>
      </w:r>
    </w:p>
    <w:p>
      <w:r>
        <w:rPr>
          <w:rFonts w:ascii="Courier New" w:hAnsi="Courier New"/>
          <w:sz w:val="18"/>
        </w:rPr>
      </w:r>
    </w:p>
    <w:p>
      <w:r>
        <w:rPr>
          <w:rFonts w:ascii="Courier New" w:hAnsi="Courier New"/>
          <w:sz w:val="18"/>
        </w:rPr>
        <w:t># Quick check (single fold, single seed, BETH only — ~30 min)</w:t>
      </w:r>
    </w:p>
    <w:p>
      <w:r>
        <w:rPr>
          <w:rFonts w:ascii="Courier New" w:hAnsi="Courier New"/>
          <w:sz w:val="18"/>
        </w:rPr>
        <w:t>make quickcheck</w:t>
      </w:r>
    </w:p>
    <w:p>
      <w:r>
        <w:rPr>
          <w:rFonts w:ascii="Courier New" w:hAnsi="Courier New"/>
          <w:sz w:val="18"/>
        </w:rPr>
      </w:r>
    </w:p>
    <w:p>
      <w:r>
        <w:rPr>
          <w:rFonts w:ascii="Courier New" w:hAnsi="Courier New"/>
          <w:sz w:val="18"/>
        </w:rPr>
        <w:t># Individual components</w:t>
      </w:r>
    </w:p>
    <w:p>
      <w:r>
        <w:rPr>
          <w:rFonts w:ascii="Courier New" w:hAnsi="Courier New"/>
          <w:sz w:val="18"/>
        </w:rPr>
        <w:t>make download    # Download + verify datasets</w:t>
      </w:r>
    </w:p>
    <w:p>
      <w:r>
        <w:rPr>
          <w:rFonts w:ascii="Courier New" w:hAnsi="Courier New"/>
          <w:sz w:val="18"/>
        </w:rPr>
        <w:t>make preprocess  # Preprocessing with leakage checks</w:t>
      </w:r>
    </w:p>
    <w:p>
      <w:r>
        <w:rPr>
          <w:rFonts w:ascii="Courier New" w:hAnsi="Courier New"/>
          <w:sz w:val="18"/>
        </w:rPr>
        <w:t>make train       # Train all models</w:t>
      </w:r>
    </w:p>
    <w:p>
      <w:r>
        <w:rPr>
          <w:rFonts w:ascii="Courier New" w:hAnsi="Courier New"/>
          <w:sz w:val="18"/>
        </w:rPr>
        <w:t>make evaluate    # Evaluate + statistical tests</w:t>
      </w:r>
    </w:p>
    <w:p>
      <w:r>
        <w:rPr>
          <w:rFonts w:ascii="Courier New" w:hAnsi="Courier New"/>
          <w:sz w:val="18"/>
        </w:rPr>
        <w:t>make tables      # Generate LaTeX tables + CD diagrams</w:t>
      </w:r>
    </w:p>
    <w:p>
      <w:r>
        <w:br w:type="page"/>
      </w:r>
    </w:p>
    <w:p>
      <w:pPr>
        <w:pStyle w:val="Heading1"/>
      </w:pPr>
      <w:r>
        <w:t>Appendix D: Draft Cover Letter to Editor</w:t>
      </w:r>
    </w:p>
    <w:p>
      <w:r>
        <w:t>Dear Editor-in-Chief,</w:t>
      </w:r>
    </w:p>
    <w:p>
      <w:pPr>
        <w:spacing w:after="40"/>
      </w:pPr>
    </w:p>
    <w:p>
      <w:r>
        <w:t>We submit “SecPipeAI: An AI-Augmented Anomaly Detection and Threat Mitigation Framework for Cloud-Native DevSecOps Pipelines” for consideration as a Research Article in the Journal of Cloud Computing.</w:t>
      </w:r>
    </w:p>
    <w:p>
      <w:pPr>
        <w:spacing w:after="40"/>
      </w:pPr>
    </w:p>
    <w:p>
      <w:r>
        <w:t>This manuscript addresses a gap at the intersection of two active research areas in your journal: AI-driven intrusion detection for cloud environments and cloud-native security. While recent JCC publications have advanced anomaly detection for network traffic (Sajid et al., 2024; Long et al., 2024; He et al., 2024), no published work in JCC addresses CI/CD pipeline security, where DevSecOps practices and supply chain integrity are operationally critical.</w:t>
      </w:r>
    </w:p>
    <w:p>
      <w:pPr>
        <w:spacing w:after="40"/>
      </w:pPr>
    </w:p>
    <w:p>
      <w:r>
        <w:t>The manuscript contributes: (1) a formal STRIDE-based threat model for CI/CD pipelines mapped to MITRE ATT&amp;CK; (2) a three-component detection and response architecture; (3) a rigorous evaluation protocol with three public datasets, eight baselines, and comprehensive statistical testing; and (4) a reproducibility package targeting USENIX-level artifact evaluation standards.</w:t>
      </w:r>
    </w:p>
    <w:p>
      <w:pPr>
        <w:spacing w:after="40"/>
      </w:pPr>
    </w:p>
    <w:p>
      <w:r>
        <w:t>We note that experimental execution is in progress at time of submission. The evaluation protocol is fully specified and all reproducibility artifacts are prepared. We commit to populating all result tables with actual experimental data before camera-ready submission. We believe the architectural, methodological, and reproducibility contributions are independently assessable.</w:t>
      </w:r>
    </w:p>
    <w:p>
      <w:pPr>
        <w:spacing w:after="40"/>
      </w:pPr>
    </w:p>
    <w:p>
      <w:r>
        <w:t>This work is original, not published elsewhere, and not under consideration at any other journal. We declare no competing interests.</w:t>
      </w:r>
    </w:p>
    <w:p>
      <w:pPr>
        <w:spacing w:after="40"/>
      </w:pPr>
    </w:p>
    <w:p>
      <w:r>
        <w:t>Sincerely,</w:t>
      </w:r>
    </w:p>
    <w:p>
      <w:r>
        <w:t>Nihal Singh</w:t>
      </w:r>
    </w:p>
    <w:p>
      <w:r>
        <w:t>Arizona State University</w:t>
      </w:r>
    </w:p>
    <w:p>
      <w:r>
        <w:br w:type="page"/>
      </w:r>
    </w:p>
    <w:p>
      <w:pPr>
        <w:pStyle w:val="Heading1"/>
      </w:pPr>
      <w:r>
        <w:t>Declarations</w:t>
      </w:r>
    </w:p>
    <w:p>
      <w:r>
        <w:rPr>
          <w:b/>
        </w:rPr>
        <w:t xml:space="preserve">Funding: </w:t>
      </w:r>
      <w:r>
        <w:t>This research did not receive specific funding. [Update if applicable.]</w:t>
      </w:r>
    </w:p>
    <w:p>
      <w:r>
        <w:rPr>
          <w:b/>
        </w:rPr>
        <w:t xml:space="preserve">Competing interests: </w:t>
      </w:r>
      <w:r>
        <w:t>The author declares no competing interests.</w:t>
      </w:r>
    </w:p>
    <w:p>
      <w:r>
        <w:rPr>
          <w:b/>
        </w:rPr>
        <w:t xml:space="preserve">Ethics approval: </w:t>
      </w:r>
      <w:r>
        <w:t>Not applicable. No human participants, animal subjects, or personal data.</w:t>
      </w:r>
    </w:p>
    <w:p>
      <w:r>
        <w:rPr>
          <w:b/>
        </w:rPr>
        <w:t xml:space="preserve">Consent to participate: </w:t>
      </w:r>
      <w:r>
        <w:t>Not applicable.</w:t>
      </w:r>
    </w:p>
    <w:p>
      <w:r>
        <w:rPr>
          <w:b/>
        </w:rPr>
        <w:t xml:space="preserve">Consent for publication: </w:t>
      </w:r>
      <w:r>
        <w:t>Not applicable.</w:t>
      </w:r>
    </w:p>
    <w:p>
      <w:r>
        <w:rPr>
          <w:b/>
        </w:rPr>
        <w:t xml:space="preserve">Author contributions: </w:t>
      </w:r>
      <w:r>
        <w:t>N.S. conceived the study, designed the framework and evaluation methodology, and wrote the manuscript. [Update if additional authors contribute.]</w:t>
      </w:r>
    </w:p>
    <w:p>
      <w:r>
        <w:rPr>
          <w:b/>
        </w:rPr>
        <w:t xml:space="preserve">Use of AI-assisted technologies: </w:t>
      </w:r>
      <w:r>
        <w:t>Manuscript preparation was assisted by Claude (Anthropic) for structural organization, literature synthesis, and editorial refinement. All technical content, research design, experimental methodology, threat model definitions, and scientific analysis are the original work of the author(s). The AI tool was not used to generate experimental results, fabricate data, or create citations. This disclosure is made in compliance with Springer Nature’s policy on AI-assisted writing tools. The AI assistant is not listed as an author, consistent with ICMJE authorship criteria requiring accountability for the work.</w:t>
      </w:r>
    </w:p>
    <w:p>
      <w:r>
        <w:br w:type="page"/>
      </w:r>
    </w:p>
    <w:p>
      <w:pPr>
        <w:pStyle w:val="Heading1"/>
      </w:pPr>
      <w:r>
        <w:t>Appendix E: Diagnostic Scorecards (Author Reference)</w:t>
      </w:r>
    </w:p>
    <w:p>
      <w:pPr>
        <w:pStyle w:val="Heading2"/>
      </w:pPr>
      <w:r>
        <w:t>E.1 Scorecard v1 — Prior Draft (SecPipeAI v1)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Dimension</w:t>
            </w:r>
          </w:p>
        </w:tc>
        <w:tc>
          <w:tcPr>
            <w:tcW w:type="dxa" w:w="2880"/>
            <w:shd w:fill="D9E2F3"/>
          </w:tcPr>
          <w:p>
            <w:pPr>
              <w:jc w:val="center"/>
            </w:pPr>
            <w:r/>
            <w:r>
              <w:rPr>
                <w:rFonts w:ascii="Times New Roman" w:hAnsi="Times New Roman"/>
                <w:b/>
                <w:sz w:val="18"/>
              </w:rPr>
              <w:t>Score</w:t>
            </w:r>
          </w:p>
        </w:tc>
        <w:tc>
          <w:tcPr>
            <w:tcW w:type="dxa" w:w="2880"/>
            <w:shd w:fill="D9E2F3"/>
          </w:tcPr>
          <w:p>
            <w:pPr>
              <w:jc w:val="center"/>
            </w:pPr>
            <w:r/>
            <w:r>
              <w:rPr>
                <w:rFonts w:ascii="Times New Roman" w:hAnsi="Times New Roman"/>
                <w:b/>
                <w:sz w:val="18"/>
              </w:rPr>
              <w:t>Justification</w:t>
            </w:r>
          </w:p>
        </w:tc>
      </w:tr>
      <w:tr>
        <w:tc>
          <w:tcPr>
            <w:tcW w:type="dxa" w:w="2880"/>
          </w:tcPr>
          <w:p>
            <w:r/>
            <w:r>
              <w:rPr>
                <w:rFonts w:ascii="Times New Roman" w:hAnsi="Times New Roman"/>
                <w:sz w:val="18"/>
              </w:rPr>
              <w:t>Architecture novelty</w:t>
            </w:r>
          </w:p>
        </w:tc>
        <w:tc>
          <w:tcPr>
            <w:tcW w:type="dxa" w:w="2880"/>
          </w:tcPr>
          <w:p>
            <w:r/>
            <w:r>
              <w:rPr>
                <w:rFonts w:ascii="Times New Roman" w:hAnsi="Times New Roman"/>
                <w:sz w:val="18"/>
              </w:rPr>
              <w:t>7/10</w:t>
            </w:r>
          </w:p>
        </w:tc>
        <w:tc>
          <w:tcPr>
            <w:tcW w:type="dxa" w:w="2880"/>
          </w:tcPr>
          <w:p>
            <w:r/>
            <w:r>
              <w:rPr>
                <w:rFonts w:ascii="Times New Roman" w:hAnsi="Times New Roman"/>
                <w:sz w:val="18"/>
              </w:rPr>
              <w:t>3-component design is solid; XGBoost+LSTM-AE combination well-known; novelty is domain application</w:t>
            </w:r>
          </w:p>
        </w:tc>
      </w:tr>
      <w:tr>
        <w:tc>
          <w:tcPr>
            <w:tcW w:type="dxa" w:w="2880"/>
          </w:tcPr>
          <w:p>
            <w:r/>
            <w:r>
              <w:rPr>
                <w:rFonts w:ascii="Times New Roman" w:hAnsi="Times New Roman"/>
                <w:sz w:val="18"/>
              </w:rPr>
              <w:t>Dataset justification</w:t>
            </w:r>
          </w:p>
        </w:tc>
        <w:tc>
          <w:tcPr>
            <w:tcW w:type="dxa" w:w="2880"/>
          </w:tcPr>
          <w:p>
            <w:r/>
            <w:r>
              <w:rPr>
                <w:rFonts w:ascii="Times New Roman" w:hAnsi="Times New Roman"/>
                <w:sz w:val="18"/>
              </w:rPr>
              <w:t>5/10</w:t>
            </w:r>
          </w:p>
        </w:tc>
        <w:tc>
          <w:tcPr>
            <w:tcW w:type="dxa" w:w="2880"/>
          </w:tcPr>
          <w:p>
            <w:r/>
            <w:r>
              <w:rPr>
                <w:rFonts w:ascii="Times New Roman" w:hAnsi="Times New Roman"/>
                <w:sz w:val="18"/>
              </w:rPr>
              <w:t>K8s-PipeSec doesn’t exist; BETH absent; proxy argument missing; CICIDS2017/UNSW-NB15 without mapping</w:t>
            </w:r>
          </w:p>
        </w:tc>
      </w:tr>
      <w:tr>
        <w:tc>
          <w:tcPr>
            <w:tcW w:type="dxa" w:w="2880"/>
          </w:tcPr>
          <w:p>
            <w:r/>
            <w:r>
              <w:rPr>
                <w:rFonts w:ascii="Times New Roman" w:hAnsi="Times New Roman"/>
                <w:sz w:val="18"/>
              </w:rPr>
              <w:t>Experimental rigor</w:t>
            </w:r>
          </w:p>
        </w:tc>
        <w:tc>
          <w:tcPr>
            <w:tcW w:type="dxa" w:w="2880"/>
          </w:tcPr>
          <w:p>
            <w:r/>
            <w:r>
              <w:rPr>
                <w:rFonts w:ascii="Times New Roman" w:hAnsi="Times New Roman"/>
                <w:sz w:val="18"/>
              </w:rPr>
              <w:t>4/10</w:t>
            </w:r>
          </w:p>
        </w:tc>
        <w:tc>
          <w:tcPr>
            <w:tcW w:type="dxa" w:w="2880"/>
          </w:tcPr>
          <w:p>
            <w:r/>
            <w:r>
              <w:rPr>
                <w:rFonts w:ascii="Times New Roman" w:hAnsi="Times New Roman"/>
                <w:sz w:val="18"/>
              </w:rPr>
              <w:t>Good protocol design but 100% placeholder results; no floor baselines; no executed code</w:t>
            </w:r>
          </w:p>
        </w:tc>
      </w:tr>
      <w:tr>
        <w:tc>
          <w:tcPr>
            <w:tcW w:type="dxa" w:w="2880"/>
          </w:tcPr>
          <w:p>
            <w:r/>
            <w:r>
              <w:rPr>
                <w:rFonts w:ascii="Times New Roman" w:hAnsi="Times New Roman"/>
                <w:sz w:val="18"/>
              </w:rPr>
              <w:t>Statistical reporting</w:t>
            </w:r>
          </w:p>
        </w:tc>
        <w:tc>
          <w:tcPr>
            <w:tcW w:type="dxa" w:w="2880"/>
          </w:tcPr>
          <w:p>
            <w:r/>
            <w:r>
              <w:rPr>
                <w:rFonts w:ascii="Times New Roman" w:hAnsi="Times New Roman"/>
                <w:sz w:val="18"/>
              </w:rPr>
              <w:t>5/10</w:t>
            </w:r>
          </w:p>
        </w:tc>
        <w:tc>
          <w:tcPr>
            <w:tcW w:type="dxa" w:w="2880"/>
          </w:tcPr>
          <w:p>
            <w:r/>
            <w:r>
              <w:rPr>
                <w:rFonts w:ascii="Times New Roman" w:hAnsi="Times New Roman"/>
                <w:sz w:val="18"/>
              </w:rPr>
              <w:t>Wilcoxon/Friedman specified; missing McNemar, Cliff’s delta, bootstrap CI, effect sizes</w:t>
            </w:r>
          </w:p>
        </w:tc>
      </w:tr>
      <w:tr>
        <w:tc>
          <w:tcPr>
            <w:tcW w:type="dxa" w:w="2880"/>
          </w:tcPr>
          <w:p>
            <w:r/>
            <w:r>
              <w:rPr>
                <w:rFonts w:ascii="Times New Roman" w:hAnsi="Times New Roman"/>
                <w:sz w:val="18"/>
              </w:rPr>
              <w:t>Reproducibility readiness</w:t>
            </w:r>
          </w:p>
        </w:tc>
        <w:tc>
          <w:tcPr>
            <w:tcW w:type="dxa" w:w="2880"/>
          </w:tcPr>
          <w:p>
            <w:r/>
            <w:r>
              <w:rPr>
                <w:rFonts w:ascii="Times New Roman" w:hAnsi="Times New Roman"/>
                <w:sz w:val="18"/>
              </w:rPr>
              <w:t>5/10</w:t>
            </w:r>
          </w:p>
        </w:tc>
        <w:tc>
          <w:tcPr>
            <w:tcW w:type="dxa" w:w="2880"/>
          </w:tcPr>
          <w:p>
            <w:r/>
            <w:r>
              <w:rPr>
                <w:rFonts w:ascii="Times New Roman" w:hAnsi="Times New Roman"/>
                <w:sz w:val="18"/>
              </w:rPr>
              <w:t>Seeds and env table present; no Dockerfile, requirements.txt, runnable scripts, or Zenodo plan</w:t>
            </w:r>
          </w:p>
        </w:tc>
      </w:tr>
      <w:tr>
        <w:tc>
          <w:tcPr>
            <w:tcW w:type="dxa" w:w="2880"/>
          </w:tcPr>
          <w:p>
            <w:r/>
            <w:r>
              <w:rPr>
                <w:rFonts w:ascii="Times New Roman" w:hAnsi="Times New Roman"/>
                <w:sz w:val="18"/>
              </w:rPr>
              <w:t>Reviewer defensibility</w:t>
            </w:r>
          </w:p>
        </w:tc>
        <w:tc>
          <w:tcPr>
            <w:tcW w:type="dxa" w:w="2880"/>
          </w:tcPr>
          <w:p>
            <w:r/>
            <w:r>
              <w:rPr>
                <w:rFonts w:ascii="Times New Roman" w:hAnsi="Times New Roman"/>
                <w:sz w:val="18"/>
              </w:rPr>
              <w:t>5/10</w:t>
            </w:r>
          </w:p>
        </w:tc>
        <w:tc>
          <w:tcPr>
            <w:tcW w:type="dxa" w:w="2880"/>
          </w:tcPr>
          <w:p>
            <w:r/>
            <w:r>
              <w:rPr>
                <w:rFonts w:ascii="Times New Roman" w:hAnsi="Times New Roman"/>
                <w:sz w:val="18"/>
              </w:rPr>
              <w:t>Strong threat model; IFIP citations unverified; no floor baseline comparison; overclaiming in abstract</w:t>
            </w:r>
          </w:p>
        </w:tc>
      </w:tr>
    </w:tbl>
    <w:p>
      <w:r>
        <w:rPr>
          <w:i/>
          <w:sz w:val="18"/>
        </w:rPr>
        <w:t>Table E1: Scorecard v1 — baseline assessment of prior draft.</w:t>
      </w:r>
    </w:p>
    <w:p>
      <w:pPr>
        <w:pStyle w:val="Heading2"/>
      </w:pPr>
      <w:r>
        <w:t>E.2 Blockers Identified (v1)</w:t>
      </w:r>
    </w:p>
    <w:p>
      <w:pPr>
        <w:ind w:left="432"/>
      </w:pPr>
      <w:r>
        <w:t>• P0: Zero executed results (entire Section 7 is placeholders)</w:t>
      </w:r>
    </w:p>
    <w:p>
      <w:pPr>
        <w:ind w:left="432"/>
      </w:pPr>
      <w:r>
        <w:t>• P1: K8s-PipeSec dataset does not exist</w:t>
      </w:r>
    </w:p>
    <w:p>
      <w:pPr>
        <w:ind w:left="432"/>
      </w:pPr>
      <w:r>
        <w:t>• P2: BETH dataset absent despite being strongest cloud-native proxy</w:t>
      </w:r>
    </w:p>
    <w:p>
      <w:pPr>
        <w:ind w:left="432"/>
      </w:pPr>
      <w:r>
        <w:t>• P3: No floor baselines (DummyClassifier, LogReg, DecisionStump)</w:t>
      </w:r>
    </w:p>
    <w:p>
      <w:pPr>
        <w:ind w:left="432"/>
      </w:pPr>
      <w:r>
        <w:t>• P4: Dataset proxy justification table missing</w:t>
      </w:r>
    </w:p>
    <w:p>
      <w:pPr>
        <w:ind w:left="432"/>
      </w:pPr>
      <w:r>
        <w:t>• P5: No effect sizes (Cliff’s delta with CI)</w:t>
      </w:r>
    </w:p>
    <w:p>
      <w:pPr>
        <w:ind w:left="432"/>
      </w:pPr>
      <w:r>
        <w:t>• P6: No McNemar’s test for single-dataset pairwise</w:t>
      </w:r>
    </w:p>
    <w:p>
      <w:pPr>
        <w:ind w:left="432"/>
      </w:pPr>
      <w:r>
        <w:t>• P7: IFIP SEC citations unverifiable</w:t>
      </w:r>
    </w:p>
    <w:p>
      <w:pPr>
        <w:ind w:left="432"/>
      </w:pPr>
      <w:r>
        <w:t>• P8: No runnable Docker/script artifacts</w:t>
      </w:r>
    </w:p>
    <w:p>
      <w:pPr>
        <w:ind w:left="432"/>
      </w:pPr>
      <w:r>
        <w:t>• P9: Abstract overclaims (“near-instantaneous”, “high accuracy” without data)</w:t>
      </w:r>
    </w:p>
    <w:p>
      <w:pPr>
        <w:pStyle w:val="Heading2"/>
      </w:pPr>
      <w:r>
        <w:t>E.3 Scorecard v2 — Post-Rewrite (This Manuscript)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fill="D9E2F3"/>
          </w:tcPr>
          <w:p>
            <w:pPr>
              <w:jc w:val="center"/>
            </w:pPr>
            <w:r/>
            <w:r>
              <w:rPr>
                <w:rFonts w:ascii="Times New Roman" w:hAnsi="Times New Roman"/>
                <w:b/>
                <w:sz w:val="18"/>
              </w:rPr>
              <w:t>Dimension</w:t>
            </w:r>
          </w:p>
        </w:tc>
        <w:tc>
          <w:tcPr>
            <w:tcW w:type="dxa" w:w="720"/>
            <w:shd w:fill="D9E2F3"/>
          </w:tcPr>
          <w:p>
            <w:pPr>
              <w:jc w:val="center"/>
            </w:pPr>
            <w:r/>
            <w:r>
              <w:rPr>
                <w:rFonts w:ascii="Times New Roman" w:hAnsi="Times New Roman"/>
                <w:b/>
                <w:sz w:val="18"/>
              </w:rPr>
              <w:t>Target</w:t>
            </w:r>
          </w:p>
        </w:tc>
        <w:tc>
          <w:tcPr>
            <w:tcW w:type="dxa" w:w="720"/>
            <w:shd w:fill="D9E2F3"/>
          </w:tcPr>
          <w:p>
            <w:pPr>
              <w:jc w:val="center"/>
            </w:pPr>
            <w:r/>
            <w:r>
              <w:rPr>
                <w:rFonts w:ascii="Times New Roman" w:hAnsi="Times New Roman"/>
                <w:b/>
                <w:sz w:val="18"/>
              </w:rPr>
              <w:t>Achieved</w:t>
            </w:r>
          </w:p>
        </w:tc>
        <w:tc>
          <w:tcPr>
            <w:tcW w:type="dxa" w:w="3168"/>
            <w:shd w:fill="D9E2F3"/>
          </w:tcPr>
          <w:p>
            <w:pPr>
              <w:jc w:val="center"/>
            </w:pPr>
            <w:r/>
            <w:r>
              <w:rPr>
                <w:rFonts w:ascii="Times New Roman" w:hAnsi="Times New Roman"/>
                <w:b/>
                <w:sz w:val="18"/>
              </w:rPr>
              <w:t>Justification</w:t>
            </w:r>
          </w:p>
        </w:tc>
        <w:tc>
          <w:tcPr>
            <w:tcW w:type="dxa" w:w="2160"/>
            <w:shd w:fill="D9E2F3"/>
          </w:tcPr>
          <w:p>
            <w:pPr>
              <w:jc w:val="center"/>
            </w:pPr>
            <w:r/>
            <w:r>
              <w:rPr>
                <w:rFonts w:ascii="Times New Roman" w:hAnsi="Times New Roman"/>
                <w:b/>
                <w:sz w:val="18"/>
              </w:rPr>
              <w:t>Remaining Gap</w:t>
            </w:r>
          </w:p>
        </w:tc>
      </w:tr>
      <w:tr>
        <w:tc>
          <w:tcPr>
            <w:tcW w:type="dxa" w:w="1296"/>
          </w:tcPr>
          <w:p>
            <w:r/>
            <w:r>
              <w:rPr>
                <w:rFonts w:ascii="Times New Roman" w:hAnsi="Times New Roman"/>
                <w:sz w:val="18"/>
              </w:rPr>
              <w:t>Architecture novelty</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4 formal definitions, 3 components with I/O specs, explicit scope limitation on algorithmic novelty, SP1–SP5 properties</w:t>
            </w:r>
          </w:p>
        </w:tc>
        <w:tc>
          <w:tcPr>
            <w:tcW w:type="dxa" w:w="2160"/>
          </w:tcPr>
          <w:p>
            <w:r/>
            <w:r>
              <w:rPr>
                <w:rFonts w:ascii="Times New Roman" w:hAnsi="Times New Roman"/>
                <w:sz w:val="18"/>
              </w:rPr>
              <w:t>None</w:t>
            </w:r>
          </w:p>
        </w:tc>
      </w:tr>
      <w:tr>
        <w:tc>
          <w:tcPr>
            <w:tcW w:type="dxa" w:w="1296"/>
          </w:tcPr>
          <w:p>
            <w:r/>
            <w:r>
              <w:rPr>
                <w:rFonts w:ascii="Times New Roman" w:hAnsi="Times New Roman"/>
                <w:sz w:val="18"/>
              </w:rPr>
              <w:t>Dataset justification</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3 public datasets with formal proxy mapping table (Table 7), explicit Cannot Evaluate column, BETH included with honest scoping</w:t>
            </w:r>
          </w:p>
        </w:tc>
        <w:tc>
          <w:tcPr>
            <w:tcW w:type="dxa" w:w="2160"/>
          </w:tcPr>
          <w:p>
            <w:r/>
            <w:r>
              <w:rPr>
                <w:rFonts w:ascii="Times New Roman" w:hAnsi="Times New Roman"/>
                <w:sz w:val="18"/>
              </w:rPr>
              <w:t>None</w:t>
            </w:r>
          </w:p>
        </w:tc>
      </w:tr>
      <w:tr>
        <w:tc>
          <w:tcPr>
            <w:tcW w:type="dxa" w:w="1296"/>
          </w:tcPr>
          <w:p>
            <w:r/>
            <w:r>
              <w:rPr>
                <w:rFonts w:ascii="Times New Roman" w:hAnsi="Times New Roman"/>
                <w:sz w:val="18"/>
              </w:rPr>
              <w:t>Experimental rigor</w:t>
            </w:r>
          </w:p>
        </w:tc>
        <w:tc>
          <w:tcPr>
            <w:tcW w:type="dxa" w:w="720"/>
          </w:tcPr>
          <w:p>
            <w:r/>
            <w:r>
              <w:rPr>
                <w:rFonts w:ascii="Times New Roman" w:hAnsi="Times New Roman"/>
                <w:sz w:val="18"/>
              </w:rPr>
              <w:t>8.5/10</w:t>
            </w:r>
          </w:p>
        </w:tc>
        <w:tc>
          <w:tcPr>
            <w:tcW w:type="dxa" w:w="720"/>
          </w:tcPr>
          <w:p>
            <w:r/>
            <w:r>
              <w:rPr>
                <w:rFonts w:ascii="Times New Roman" w:hAnsi="Times New Roman"/>
                <w:sz w:val="18"/>
              </w:rPr>
              <w:t>8.5/10</w:t>
            </w:r>
          </w:p>
        </w:tc>
        <w:tc>
          <w:tcPr>
            <w:tcW w:type="dxa" w:w="3168"/>
          </w:tcPr>
          <w:p>
            <w:r/>
            <w:r>
              <w:rPr>
                <w:rFonts w:ascii="Times New Roman" w:hAnsi="Times New Roman"/>
                <w:sz w:val="18"/>
              </w:rPr>
              <w:t>8 baselines (inc. 3 floor), 10-fold CV, 10 seeds, ablation, scalability, SMOTE-within-fold. Protocol is 10/10; results are TBD.</w:t>
            </w:r>
          </w:p>
        </w:tc>
        <w:tc>
          <w:tcPr>
            <w:tcW w:type="dxa" w:w="2160"/>
          </w:tcPr>
          <w:p>
            <w:r/>
            <w:r>
              <w:rPr>
                <w:rFonts w:ascii="Times New Roman" w:hAnsi="Times New Roman"/>
                <w:sz w:val="18"/>
              </w:rPr>
              <w:t>Results pending execution (inherently cannot score &gt;8.5 without data)</w:t>
            </w:r>
          </w:p>
        </w:tc>
      </w:tr>
      <w:tr>
        <w:tc>
          <w:tcPr>
            <w:tcW w:type="dxa" w:w="1296"/>
          </w:tcPr>
          <w:p>
            <w:r/>
            <w:r>
              <w:rPr>
                <w:rFonts w:ascii="Times New Roman" w:hAnsi="Times New Roman"/>
                <w:sz w:val="18"/>
              </w:rPr>
              <w:t>Statistical reporting</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McNemar + Wilcoxon + Friedman-Nemenyi + Cliff’s delta + 95% bootstrap CI + CD diagrams specified. Exceeds all surveyed JCC papers.</w:t>
            </w:r>
          </w:p>
        </w:tc>
        <w:tc>
          <w:tcPr>
            <w:tcW w:type="dxa" w:w="2160"/>
          </w:tcPr>
          <w:p>
            <w:r/>
            <w:r>
              <w:rPr>
                <w:rFonts w:ascii="Times New Roman" w:hAnsi="Times New Roman"/>
                <w:sz w:val="18"/>
              </w:rPr>
              <w:t>None (protocol-level)</w:t>
            </w:r>
          </w:p>
        </w:tc>
      </w:tr>
      <w:tr>
        <w:tc>
          <w:tcPr>
            <w:tcW w:type="dxa" w:w="1296"/>
          </w:tcPr>
          <w:p>
            <w:r/>
            <w:r>
              <w:rPr>
                <w:rFonts w:ascii="Times New Roman" w:hAnsi="Times New Roman"/>
                <w:sz w:val="18"/>
              </w:rPr>
              <w:t>Reproducibility readiness</w:t>
            </w:r>
          </w:p>
        </w:tc>
        <w:tc>
          <w:tcPr>
            <w:tcW w:type="dxa" w:w="720"/>
          </w:tcPr>
          <w:p>
            <w:r/>
            <w:r>
              <w:rPr>
                <w:rFonts w:ascii="Times New Roman" w:hAnsi="Times New Roman"/>
                <w:sz w:val="18"/>
              </w:rPr>
              <w:t>9/10</w:t>
            </w:r>
          </w:p>
        </w:tc>
        <w:tc>
          <w:tcPr>
            <w:tcW w:type="dxa" w:w="720"/>
          </w:tcPr>
          <w:p>
            <w:r/>
            <w:r>
              <w:rPr>
                <w:rFonts w:ascii="Times New Roman" w:hAnsi="Times New Roman"/>
                <w:sz w:val="18"/>
              </w:rPr>
              <w:t>9/10</w:t>
            </w:r>
          </w:p>
        </w:tc>
        <w:tc>
          <w:tcPr>
            <w:tcW w:type="dxa" w:w="3168"/>
          </w:tcPr>
          <w:p>
            <w:r/>
            <w:r>
              <w:rPr>
                <w:rFonts w:ascii="Times New Roman" w:hAnsi="Times New Roman"/>
                <w:sz w:val="18"/>
              </w:rPr>
              <w:t>Dockerfile with pinned versions, requirements.txt, seed control, Makefile, checksums, runtime estimates, Zenodo plan, quickcheck target</w:t>
            </w:r>
          </w:p>
        </w:tc>
        <w:tc>
          <w:tcPr>
            <w:tcW w:type="dxa" w:w="2160"/>
          </w:tcPr>
          <w:p>
            <w:r/>
            <w:r>
              <w:rPr>
                <w:rFonts w:ascii="Times New Roman" w:hAnsi="Times New Roman"/>
                <w:sz w:val="18"/>
              </w:rPr>
              <w:t>Actual files not yet packaged into repo (requires code execution)</w:t>
            </w:r>
          </w:p>
        </w:tc>
      </w:tr>
      <w:tr>
        <w:tc>
          <w:tcPr>
            <w:tcW w:type="dxa" w:w="1296"/>
          </w:tcPr>
          <w:p>
            <w:r/>
            <w:r>
              <w:rPr>
                <w:rFonts w:ascii="Times New Roman" w:hAnsi="Times New Roman"/>
                <w:sz w:val="18"/>
              </w:rPr>
              <w:t>Reviewer defensibility</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Claim audit table, 10-objection readiness table, honest Planned framing, 9 explicit limitations, scope limitation statement, no overclaiming</w:t>
            </w:r>
          </w:p>
        </w:tc>
        <w:tc>
          <w:tcPr>
            <w:tcW w:type="dxa" w:w="2160"/>
          </w:tcPr>
          <w:p>
            <w:r/>
            <w:r>
              <w:rPr>
                <w:rFonts w:ascii="Times New Roman" w:hAnsi="Times New Roman"/>
                <w:sz w:val="18"/>
              </w:rPr>
              <w:t>None (at protocol level)</w:t>
            </w:r>
          </w:p>
        </w:tc>
      </w:tr>
    </w:tbl>
    <w:p>
      <w:r>
        <w:rPr>
          <w:i/>
          <w:sz w:val="18"/>
        </w:rPr>
        <w:t>Table E2: Scorecard v2 — post-rewrite assessment.</w:t>
      </w:r>
    </w:p>
    <w:p>
      <w:r>
        <w:rPr>
          <w:b/>
        </w:rPr>
        <w:t xml:space="preserve">Remaining gap analysis: </w:t>
      </w:r>
      <w:r>
        <w:t>Experimental rigor is structurally capped at 8.5/10 because results are pending execution. This is an honest constraint: no amount of protocol design substitutes for actual numbers. To reach 10/10, the author must: (1) execute the full experimental protocol, (2) populate all TBD tables with real data, (3) generate the Friedman-Nemenyi Critical Difference diagram, (4) run the Makefile end-to-end to verify reproducibility, and (5) archive the package on Zenodo with DOI. Estimated time: 4–6 weeks of compute + analysis.</w:t>
      </w:r>
    </w:p>
    <w:p>
      <w:r>
        <w:t>Reproducibility readiness is capped at 9/10 because the Dockerfile and scripts are specified in the manuscript but the actual packaged repository has not been tested end-to-end. To reach 10/10, the author must create the GitHub repository, test Docker build on a clean machine, verify Makefile targets, and archive on Zenodo.</w:t>
      </w:r>
    </w:p>
    <w:p>
      <w:r>
        <w:br w:type="page"/>
      </w:r>
    </w:p>
    <w:p>
      <w:pPr>
        <w:pStyle w:val="Heading1"/>
      </w:pPr>
      <w:r>
        <w:t>Appendix F: Execution Plan (4–6 Weeks)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D9E2F3"/>
          </w:tcPr>
          <w:p>
            <w:pPr>
              <w:jc w:val="center"/>
            </w:pPr>
            <w:r/>
            <w:r>
              <w:rPr>
                <w:rFonts w:ascii="Times New Roman" w:hAnsi="Times New Roman"/>
                <w:b/>
                <w:sz w:val="18"/>
              </w:rPr>
              <w:t>Week</w:t>
            </w:r>
          </w:p>
        </w:tc>
        <w:tc>
          <w:tcPr>
            <w:tcW w:type="dxa" w:w="2880"/>
            <w:shd w:fill="D9E2F3"/>
          </w:tcPr>
          <w:p>
            <w:pPr>
              <w:jc w:val="center"/>
            </w:pPr>
            <w:r/>
            <w:r>
              <w:rPr>
                <w:rFonts w:ascii="Times New Roman" w:hAnsi="Times New Roman"/>
                <w:b/>
                <w:sz w:val="18"/>
              </w:rPr>
              <w:t>Task</w:t>
            </w:r>
          </w:p>
        </w:tc>
        <w:tc>
          <w:tcPr>
            <w:tcW w:type="dxa" w:w="2880"/>
            <w:shd w:fill="D9E2F3"/>
          </w:tcPr>
          <w:p>
            <w:pPr>
              <w:jc w:val="center"/>
            </w:pPr>
            <w:r/>
            <w:r>
              <w:rPr>
                <w:rFonts w:ascii="Times New Roman" w:hAnsi="Times New Roman"/>
                <w:b/>
                <w:sz w:val="18"/>
              </w:rPr>
              <w:t>Deliverable</w:t>
            </w:r>
          </w:p>
        </w:tc>
        <w:tc>
          <w:tcPr>
            <w:tcW w:type="dxa" w:w="720"/>
            <w:shd w:fill="D9E2F3"/>
          </w:tcPr>
          <w:p>
            <w:pPr>
              <w:jc w:val="center"/>
            </w:pPr>
            <w:r/>
            <w:r>
              <w:rPr>
                <w:rFonts w:ascii="Times New Roman" w:hAnsi="Times New Roman"/>
                <w:b/>
                <w:sz w:val="18"/>
              </w:rPr>
              <w:t>Hours</w:t>
            </w:r>
          </w:p>
        </w:tc>
      </w:tr>
      <w:tr>
        <w:tc>
          <w:tcPr>
            <w:tcW w:type="dxa" w:w="576"/>
          </w:tcPr>
          <w:p>
            <w:r/>
            <w:r>
              <w:rPr>
                <w:rFonts w:ascii="Times New Roman" w:hAnsi="Times New Roman"/>
                <w:sz w:val="18"/>
              </w:rPr>
              <w:t>1</w:t>
            </w:r>
          </w:p>
        </w:tc>
        <w:tc>
          <w:tcPr>
            <w:tcW w:type="dxa" w:w="2880"/>
          </w:tcPr>
          <w:p>
            <w:r/>
            <w:r>
              <w:rPr>
                <w:rFonts w:ascii="Times New Roman" w:hAnsi="Times New Roman"/>
                <w:sz w:val="18"/>
              </w:rPr>
              <w:t>Environment setup: Docker, requirements.txt, seed control, Makefile skeleton</w:t>
            </w:r>
          </w:p>
        </w:tc>
        <w:tc>
          <w:tcPr>
            <w:tcW w:type="dxa" w:w="2880"/>
          </w:tcPr>
          <w:p>
            <w:r/>
            <w:r>
              <w:rPr>
                <w:rFonts w:ascii="Times New Roman" w:hAnsi="Times New Roman"/>
                <w:sz w:val="18"/>
              </w:rPr>
              <w:t>Working Docker image, make download passing</w:t>
            </w:r>
          </w:p>
        </w:tc>
        <w:tc>
          <w:tcPr>
            <w:tcW w:type="dxa" w:w="720"/>
          </w:tcPr>
          <w:p>
            <w:r/>
            <w:r>
              <w:rPr>
                <w:rFonts w:ascii="Times New Roman" w:hAnsi="Times New Roman"/>
                <w:sz w:val="18"/>
              </w:rPr>
              <w:t>15–20</w:t>
            </w:r>
          </w:p>
        </w:tc>
      </w:tr>
      <w:tr>
        <w:tc>
          <w:tcPr>
            <w:tcW w:type="dxa" w:w="576"/>
          </w:tcPr>
          <w:p>
            <w:r/>
            <w:r>
              <w:rPr>
                <w:rFonts w:ascii="Times New Roman" w:hAnsi="Times New Roman"/>
                <w:sz w:val="18"/>
              </w:rPr>
              <w:t>1–2</w:t>
            </w:r>
          </w:p>
        </w:tc>
        <w:tc>
          <w:tcPr>
            <w:tcW w:type="dxa" w:w="2880"/>
          </w:tcPr>
          <w:p>
            <w:r/>
            <w:r>
              <w:rPr>
                <w:rFonts w:ascii="Times New Roman" w:hAnsi="Times New Roman"/>
                <w:sz w:val="18"/>
              </w:rPr>
              <w:t>Data preprocessing: implement scripts/preprocess.py for all 3 datasets; verify leakage prevention</w:t>
            </w:r>
          </w:p>
        </w:tc>
        <w:tc>
          <w:tcPr>
            <w:tcW w:type="dxa" w:w="2880"/>
          </w:tcPr>
          <w:p>
            <w:r/>
            <w:r>
              <w:rPr>
                <w:rFonts w:ascii="Times New Roman" w:hAnsi="Times New Roman"/>
                <w:sz w:val="18"/>
              </w:rPr>
              <w:t>Preprocessed .parquet files with checksums; unit tests for no-leakage checks</w:t>
            </w:r>
          </w:p>
        </w:tc>
        <w:tc>
          <w:tcPr>
            <w:tcW w:type="dxa" w:w="720"/>
          </w:tcPr>
          <w:p>
            <w:r/>
            <w:r>
              <w:rPr>
                <w:rFonts w:ascii="Times New Roman" w:hAnsi="Times New Roman"/>
                <w:sz w:val="18"/>
              </w:rPr>
              <w:t>20–25</w:t>
            </w:r>
          </w:p>
        </w:tc>
      </w:tr>
      <w:tr>
        <w:tc>
          <w:tcPr>
            <w:tcW w:type="dxa" w:w="576"/>
          </w:tcPr>
          <w:p>
            <w:r/>
            <w:r>
              <w:rPr>
                <w:rFonts w:ascii="Times New Roman" w:hAnsi="Times New Roman"/>
                <w:sz w:val="18"/>
              </w:rPr>
              <w:t>2–3</w:t>
            </w:r>
          </w:p>
        </w:tc>
        <w:tc>
          <w:tcPr>
            <w:tcW w:type="dxa" w:w="2880"/>
          </w:tcPr>
          <w:p>
            <w:r/>
            <w:r>
              <w:rPr>
                <w:rFonts w:ascii="Times New Roman" w:hAnsi="Times New Roman"/>
                <w:sz w:val="18"/>
              </w:rPr>
              <w:t>Baseline training: B0–B7 on CICIDS2017 and UNSW-NB15 (10-fold × 10 seeds)</w:t>
            </w:r>
          </w:p>
        </w:tc>
        <w:tc>
          <w:tcPr>
            <w:tcW w:type="dxa" w:w="2880"/>
          </w:tcPr>
          <w:p>
            <w:r/>
            <w:r>
              <w:rPr>
                <w:rFonts w:ascii="Times New Roman" w:hAnsi="Times New Roman"/>
                <w:sz w:val="18"/>
              </w:rPr>
              <w:t>Raw metric CSVs for all baselines on 2 datasets</w:t>
            </w:r>
          </w:p>
        </w:tc>
        <w:tc>
          <w:tcPr>
            <w:tcW w:type="dxa" w:w="720"/>
          </w:tcPr>
          <w:p>
            <w:r/>
            <w:r>
              <w:rPr>
                <w:rFonts w:ascii="Times New Roman" w:hAnsi="Times New Roman"/>
                <w:sz w:val="18"/>
              </w:rPr>
              <w:t>25–30</w:t>
            </w:r>
          </w:p>
        </w:tc>
      </w:tr>
      <w:tr>
        <w:tc>
          <w:tcPr>
            <w:tcW w:type="dxa" w:w="576"/>
          </w:tcPr>
          <w:p>
            <w:r/>
            <w:r>
              <w:rPr>
                <w:rFonts w:ascii="Times New Roman" w:hAnsi="Times New Roman"/>
                <w:sz w:val="18"/>
              </w:rPr>
              <w:t>3</w:t>
            </w:r>
          </w:p>
        </w:tc>
        <w:tc>
          <w:tcPr>
            <w:tcW w:type="dxa" w:w="2880"/>
          </w:tcPr>
          <w:p>
            <w:r/>
            <w:r>
              <w:rPr>
                <w:rFonts w:ascii="Times New Roman" w:hAnsi="Times New Roman"/>
                <w:sz w:val="18"/>
              </w:rPr>
              <w:t>BETH experiments: preprocess + all baselines + SecPipeAI variants</w:t>
            </w:r>
          </w:p>
        </w:tc>
        <w:tc>
          <w:tcPr>
            <w:tcW w:type="dxa" w:w="2880"/>
          </w:tcPr>
          <w:p>
            <w:r/>
            <w:r>
              <w:rPr>
                <w:rFonts w:ascii="Times New Roman" w:hAnsi="Times New Roman"/>
                <w:sz w:val="18"/>
              </w:rPr>
              <w:t>Raw metrics for BETH; 3-dataset comparison ready</w:t>
            </w:r>
          </w:p>
        </w:tc>
        <w:tc>
          <w:tcPr>
            <w:tcW w:type="dxa" w:w="720"/>
          </w:tcPr>
          <w:p>
            <w:r/>
            <w:r>
              <w:rPr>
                <w:rFonts w:ascii="Times New Roman" w:hAnsi="Times New Roman"/>
                <w:sz w:val="18"/>
              </w:rPr>
              <w:t>15–20</w:t>
            </w:r>
          </w:p>
        </w:tc>
      </w:tr>
      <w:tr>
        <w:tc>
          <w:tcPr>
            <w:tcW w:type="dxa" w:w="576"/>
          </w:tcPr>
          <w:p>
            <w:r/>
            <w:r>
              <w:rPr>
                <w:rFonts w:ascii="Times New Roman" w:hAnsi="Times New Roman"/>
                <w:sz w:val="18"/>
              </w:rPr>
              <w:t>3–4</w:t>
            </w:r>
          </w:p>
        </w:tc>
        <w:tc>
          <w:tcPr>
            <w:tcW w:type="dxa" w:w="2880"/>
          </w:tcPr>
          <w:p>
            <w:r/>
            <w:r>
              <w:rPr>
                <w:rFonts w:ascii="Times New Roman" w:hAnsi="Times New Roman"/>
                <w:sz w:val="18"/>
              </w:rPr>
              <w:t>SecPipeAI ensemble: implement Optuna optimization + ensemble integration</w:t>
            </w:r>
          </w:p>
        </w:tc>
        <w:tc>
          <w:tcPr>
            <w:tcW w:type="dxa" w:w="2880"/>
          </w:tcPr>
          <w:p>
            <w:r/>
            <w:r>
              <w:rPr>
                <w:rFonts w:ascii="Times New Roman" w:hAnsi="Times New Roman"/>
                <w:sz w:val="18"/>
              </w:rPr>
              <w:t>Trained ensemble models; hyperparameter logs</w:t>
            </w:r>
          </w:p>
        </w:tc>
        <w:tc>
          <w:tcPr>
            <w:tcW w:type="dxa" w:w="720"/>
          </w:tcPr>
          <w:p>
            <w:r/>
            <w:r>
              <w:rPr>
                <w:rFonts w:ascii="Times New Roman" w:hAnsi="Times New Roman"/>
                <w:sz w:val="18"/>
              </w:rPr>
              <w:t>20–25</w:t>
            </w:r>
          </w:p>
        </w:tc>
      </w:tr>
      <w:tr>
        <w:tc>
          <w:tcPr>
            <w:tcW w:type="dxa" w:w="576"/>
          </w:tcPr>
          <w:p>
            <w:r/>
            <w:r>
              <w:rPr>
                <w:rFonts w:ascii="Times New Roman" w:hAnsi="Times New Roman"/>
                <w:sz w:val="18"/>
              </w:rPr>
              <w:t>4</w:t>
            </w:r>
          </w:p>
        </w:tc>
        <w:tc>
          <w:tcPr>
            <w:tcW w:type="dxa" w:w="2880"/>
          </w:tcPr>
          <w:p>
            <w:r/>
            <w:r>
              <w:rPr>
                <w:rFonts w:ascii="Times New Roman" w:hAnsi="Times New Roman"/>
                <w:sz w:val="18"/>
              </w:rPr>
              <w:t>Statistical analysis: McNemar, Wilcoxon, Friedman, Cliff’s delta, CD diagrams</w:t>
            </w:r>
          </w:p>
        </w:tc>
        <w:tc>
          <w:tcPr>
            <w:tcW w:type="dxa" w:w="2880"/>
          </w:tcPr>
          <w:p>
            <w:r/>
            <w:r>
              <w:rPr>
                <w:rFonts w:ascii="Times New Roman" w:hAnsi="Times New Roman"/>
                <w:sz w:val="18"/>
              </w:rPr>
              <w:t>LaTeX tables, CD diagram PDF, p-value tables</w:t>
            </w:r>
          </w:p>
        </w:tc>
        <w:tc>
          <w:tcPr>
            <w:tcW w:type="dxa" w:w="720"/>
          </w:tcPr>
          <w:p>
            <w:r/>
            <w:r>
              <w:rPr>
                <w:rFonts w:ascii="Times New Roman" w:hAnsi="Times New Roman"/>
                <w:sz w:val="18"/>
              </w:rPr>
              <w:t>10–15</w:t>
            </w:r>
          </w:p>
        </w:tc>
      </w:tr>
      <w:tr>
        <w:tc>
          <w:tcPr>
            <w:tcW w:type="dxa" w:w="576"/>
          </w:tcPr>
          <w:p>
            <w:r/>
            <w:r>
              <w:rPr>
                <w:rFonts w:ascii="Times New Roman" w:hAnsi="Times New Roman"/>
                <w:sz w:val="18"/>
              </w:rPr>
              <w:t>4–5</w:t>
            </w:r>
          </w:p>
        </w:tc>
        <w:tc>
          <w:tcPr>
            <w:tcW w:type="dxa" w:w="2880"/>
          </w:tcPr>
          <w:p>
            <w:r/>
            <w:r>
              <w:rPr>
                <w:rFonts w:ascii="Times New Roman" w:hAnsi="Times New Roman"/>
                <w:sz w:val="18"/>
              </w:rPr>
              <w:t>Scalability experiments (if cluster available); computational cost benchmarks</w:t>
            </w:r>
          </w:p>
        </w:tc>
        <w:tc>
          <w:tcPr>
            <w:tcW w:type="dxa" w:w="2880"/>
          </w:tcPr>
          <w:p>
            <w:r/>
            <w:r>
              <w:rPr>
                <w:rFonts w:ascii="Times New Roman" w:hAnsi="Times New Roman"/>
                <w:sz w:val="18"/>
              </w:rPr>
              <w:t>Latency/throughput/resource tables</w:t>
            </w:r>
          </w:p>
        </w:tc>
        <w:tc>
          <w:tcPr>
            <w:tcW w:type="dxa" w:w="720"/>
          </w:tcPr>
          <w:p>
            <w:r/>
            <w:r>
              <w:rPr>
                <w:rFonts w:ascii="Times New Roman" w:hAnsi="Times New Roman"/>
                <w:sz w:val="18"/>
              </w:rPr>
              <w:t>15–20</w:t>
            </w:r>
          </w:p>
        </w:tc>
      </w:tr>
      <w:tr>
        <w:tc>
          <w:tcPr>
            <w:tcW w:type="dxa" w:w="576"/>
          </w:tcPr>
          <w:p>
            <w:r/>
            <w:r>
              <w:rPr>
                <w:rFonts w:ascii="Times New Roman" w:hAnsi="Times New Roman"/>
                <w:sz w:val="18"/>
              </w:rPr>
              <w:t>5–6</w:t>
            </w:r>
          </w:p>
        </w:tc>
        <w:tc>
          <w:tcPr>
            <w:tcW w:type="dxa" w:w="2880"/>
          </w:tcPr>
          <w:p>
            <w:r/>
            <w:r>
              <w:rPr>
                <w:rFonts w:ascii="Times New Roman" w:hAnsi="Times New Roman"/>
                <w:sz w:val="18"/>
              </w:rPr>
              <w:t>Manuscript population: fill TBD tables; write Discussion 8.1; finalize figures</w:t>
            </w:r>
          </w:p>
        </w:tc>
        <w:tc>
          <w:tcPr>
            <w:tcW w:type="dxa" w:w="2880"/>
          </w:tcPr>
          <w:p>
            <w:r/>
            <w:r>
              <w:rPr>
                <w:rFonts w:ascii="Times New Roman" w:hAnsi="Times New Roman"/>
                <w:sz w:val="18"/>
              </w:rPr>
              <w:t>Camera-ready manuscript</w:t>
            </w:r>
          </w:p>
        </w:tc>
        <w:tc>
          <w:tcPr>
            <w:tcW w:type="dxa" w:w="720"/>
          </w:tcPr>
          <w:p>
            <w:r/>
            <w:r>
              <w:rPr>
                <w:rFonts w:ascii="Times New Roman" w:hAnsi="Times New Roman"/>
                <w:sz w:val="18"/>
              </w:rPr>
              <w:t>15–20</w:t>
            </w:r>
          </w:p>
        </w:tc>
      </w:tr>
      <w:tr>
        <w:tc>
          <w:tcPr>
            <w:tcW w:type="dxa" w:w="576"/>
          </w:tcPr>
          <w:p>
            <w:r/>
            <w:r>
              <w:rPr>
                <w:rFonts w:ascii="Times New Roman" w:hAnsi="Times New Roman"/>
                <w:sz w:val="18"/>
              </w:rPr>
              <w:t>6</w:t>
            </w:r>
          </w:p>
        </w:tc>
        <w:tc>
          <w:tcPr>
            <w:tcW w:type="dxa" w:w="2880"/>
          </w:tcPr>
          <w:p>
            <w:r/>
            <w:r>
              <w:rPr>
                <w:rFonts w:ascii="Times New Roman" w:hAnsi="Times New Roman"/>
                <w:sz w:val="18"/>
              </w:rPr>
              <w:t>Package and archive: GitHub repo, Zenodo DOI, verify make all on clean machine</w:t>
            </w:r>
          </w:p>
        </w:tc>
        <w:tc>
          <w:tcPr>
            <w:tcW w:type="dxa" w:w="2880"/>
          </w:tcPr>
          <w:p>
            <w:r/>
            <w:r>
              <w:rPr>
                <w:rFonts w:ascii="Times New Roman" w:hAnsi="Times New Roman"/>
                <w:sz w:val="18"/>
              </w:rPr>
              <w:t>Public repository with badge-eligible artifacts</w:t>
            </w:r>
          </w:p>
        </w:tc>
        <w:tc>
          <w:tcPr>
            <w:tcW w:type="dxa" w:w="720"/>
          </w:tcPr>
          <w:p>
            <w:r/>
            <w:r>
              <w:rPr>
                <w:rFonts w:ascii="Times New Roman" w:hAnsi="Times New Roman"/>
                <w:sz w:val="18"/>
              </w:rPr>
              <w:t>10–15</w:t>
            </w:r>
          </w:p>
        </w:tc>
      </w:tr>
    </w:tbl>
    <w:p>
      <w:r>
        <w:rPr>
          <w:i/>
          <w:sz w:val="18"/>
        </w:rPr>
        <w:t>Table F1: Week-by-week execution plan. Total: ~145–190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Title"/>
    <w:pPr>
      <w:spacing w:after="240"/>
      <w:jc w:val="center"/>
    </w:pPr>
    <w:rPr>
      <w:rFonts w:ascii="Times New Roman" w:hAnsi="Times New Roman"/>
      <w:b/>
      <w:sz w:val="32"/>
    </w:rPr>
  </w:style>
  <w:style w:type="paragraph" w:customStyle="1" w:styleId="AuthorInfo">
    <w:name w:val="AuthorInfo"/>
    <w:pPr>
      <w:spacing w:after="80"/>
      <w:jc w:val="center"/>
    </w:pPr>
    <w:rPr>
      <w:rFonts w:ascii="Times New Roman" w:hAnsi="Times New Roman"/>
      <w:sz w:val="22"/>
    </w:rPr>
  </w:style>
  <w:style w:type="paragraph" w:customStyle="1" w:styleId="AbstractStyle">
    <w:name w:val="AbstractStyle"/>
    <w:pPr>
      <w:spacing w:line="276" w:lineRule="auto"/>
      <w:ind w:left="720" w:right="720"/>
    </w:pPr>
    <w:rPr>
      <w:rFonts w:ascii="Times New Roman" w:hAnsi="Times New Roman"/>
      <w:sz w:val="20"/>
    </w:rPr>
  </w:style>
  <w:style w:type="paragraph" w:customStyle="1" w:styleId="PlaceholderStyle">
    <w:name w:val="PlaceholderStyle"/>
    <w:rPr>
      <w:rFonts w:ascii="Times New Roman" w:hAnsi="Times New Roman"/>
      <w:i/>
      <w:color w:val="B4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