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01AA" w14:textId="77777777" w:rsidR="00E3254B" w:rsidRPr="00E3254B" w:rsidRDefault="00E3254B" w:rsidP="00E3254B">
      <w:pPr>
        <w:rPr>
          <w:b/>
          <w:bCs/>
        </w:rPr>
      </w:pPr>
      <w:r w:rsidRPr="00E3254B">
        <w:rPr>
          <w:b/>
          <w:bCs/>
        </w:rPr>
        <w:t>U.S. Renewable Energy Levelized Cost of Electricity (LCOE) Analysis</w:t>
      </w:r>
    </w:p>
    <w:p w14:paraId="6CFF9CE3" w14:textId="77777777" w:rsidR="00E3254B" w:rsidRPr="00E3254B" w:rsidRDefault="00E3254B" w:rsidP="00E3254B">
      <w:pPr>
        <w:rPr>
          <w:b/>
          <w:bCs/>
        </w:rPr>
      </w:pPr>
      <w:r w:rsidRPr="00E3254B">
        <w:rPr>
          <w:b/>
          <w:bCs/>
        </w:rPr>
        <w:t>A Comparative Analysis of Utility-Scale Solar PV and Land-Based Wind Using NREL ATB 2024</w:t>
      </w:r>
    </w:p>
    <w:p w14:paraId="2532B145" w14:textId="77777777" w:rsidR="00E3254B" w:rsidRPr="00E3254B" w:rsidRDefault="00E3254B" w:rsidP="00E3254B">
      <w:r w:rsidRPr="00E3254B">
        <w:rPr>
          <w:b/>
          <w:bCs/>
        </w:rPr>
        <w:t>Project Type:</w:t>
      </w:r>
      <w:r w:rsidRPr="00E3254B">
        <w:t xml:space="preserve"> Energy Market Analysis</w:t>
      </w:r>
      <w:r w:rsidRPr="00E3254B">
        <w:br/>
      </w:r>
      <w:r w:rsidRPr="00E3254B">
        <w:rPr>
          <w:b/>
          <w:bCs/>
        </w:rPr>
        <w:t>Geographic Scope:</w:t>
      </w:r>
      <w:r w:rsidRPr="00E3254B">
        <w:t xml:space="preserve"> United States</w:t>
      </w:r>
      <w:r w:rsidRPr="00E3254B">
        <w:br/>
      </w:r>
      <w:r w:rsidRPr="00E3254B">
        <w:rPr>
          <w:b/>
          <w:bCs/>
        </w:rPr>
        <w:t>Data Source:</w:t>
      </w:r>
      <w:r w:rsidRPr="00E3254B">
        <w:t xml:space="preserve"> National Renewable Energy Laboratory (NREL), 2024 Annual Technology Baseline (ATB)</w:t>
      </w:r>
      <w:r w:rsidRPr="00E3254B">
        <w:br/>
      </w:r>
      <w:r w:rsidRPr="00E3254B">
        <w:rPr>
          <w:b/>
          <w:bCs/>
        </w:rPr>
        <w:t>Tools:</w:t>
      </w:r>
      <w:r w:rsidRPr="00E3254B">
        <w:t xml:space="preserve"> Python, Pandas, NumPy, Matplotlib, Jupyter Notebook</w:t>
      </w:r>
      <w:r w:rsidRPr="00E3254B">
        <w:br/>
      </w:r>
      <w:r w:rsidRPr="00E3254B">
        <w:rPr>
          <w:b/>
          <w:bCs/>
        </w:rPr>
        <w:t>Projection Year:</w:t>
      </w:r>
      <w:r w:rsidRPr="00E3254B">
        <w:t xml:space="preserve"> 2027</w:t>
      </w:r>
    </w:p>
    <w:p w14:paraId="24C760D6" w14:textId="77777777" w:rsidR="00E3254B" w:rsidRPr="00E3254B" w:rsidRDefault="00E3254B" w:rsidP="00E3254B">
      <w:r w:rsidRPr="00E3254B">
        <w:pict w14:anchorId="69E9542C">
          <v:rect id="_x0000_i1031" style="width:0;height:1.5pt" o:hralign="center" o:hrstd="t" o:hr="t" fillcolor="#a0a0a0" stroked="f"/>
        </w:pict>
      </w:r>
    </w:p>
    <w:p w14:paraId="0FDAB123" w14:textId="77777777" w:rsidR="00E3254B" w:rsidRPr="00E3254B" w:rsidRDefault="00E3254B" w:rsidP="00E3254B">
      <w:pPr>
        <w:rPr>
          <w:b/>
          <w:bCs/>
        </w:rPr>
      </w:pPr>
      <w:r w:rsidRPr="00E3254B">
        <w:rPr>
          <w:b/>
          <w:bCs/>
        </w:rPr>
        <w:t>1. Executive Summary</w:t>
      </w:r>
    </w:p>
    <w:p w14:paraId="53CA3274" w14:textId="77777777" w:rsidR="00E3254B" w:rsidRPr="00E3254B" w:rsidRDefault="00E3254B" w:rsidP="00E3254B">
      <w:r w:rsidRPr="00E3254B">
        <w:t>This project evaluates the projected generation costs of two major renewable electricity technologies in the United States: utility-scale solar photovoltaic (PV) and land-based wind. The analysis uses data from the National Renewable Energy Laboratory's (NREL) 2024 Annual Technology Baseline (ATB) to compare the levelized cost of electricity (LCOE) under consistent assumptions.</w:t>
      </w:r>
    </w:p>
    <w:p w14:paraId="0EFE6276" w14:textId="77777777" w:rsidR="00E3254B" w:rsidRPr="00E3254B" w:rsidRDefault="00E3254B" w:rsidP="00E3254B">
      <w:r w:rsidRPr="00E3254B">
        <w:t>The primary objective is to identify which technology has the lower projected generation cost and assess how the assumed cost recovery period influences that comparison.</w:t>
      </w:r>
    </w:p>
    <w:p w14:paraId="501405EF" w14:textId="77777777" w:rsidR="00E3254B" w:rsidRPr="00E3254B" w:rsidRDefault="00E3254B" w:rsidP="00E3254B">
      <w:r w:rsidRPr="00E3254B">
        <w:t>The analysis focuses on the 2027 projection year, the Moderate scenario, the Market case, a 30-year cost recovery period, and the Production Tax Credit (PTC) tax-credit case. Utility-scale solar PV Class 4 and land-based wind Class 4 are selected for the comparison.</w:t>
      </w:r>
    </w:p>
    <w:p w14:paraId="2B347D17" w14:textId="77777777" w:rsidR="00E3254B" w:rsidRPr="00E3254B" w:rsidRDefault="00E3254B" w:rsidP="00E3254B">
      <w:r w:rsidRPr="00E3254B">
        <w:t xml:space="preserve">Under these assumptions, land-based wind has a projected LCOE of </w:t>
      </w:r>
      <w:r w:rsidRPr="00E3254B">
        <w:rPr>
          <w:b/>
          <w:bCs/>
        </w:rPr>
        <w:t>$14.53/MWh</w:t>
      </w:r>
      <w:r w:rsidRPr="00E3254B">
        <w:t xml:space="preserve">, while utility-scale solar PV has a projected LCOE of </w:t>
      </w:r>
      <w:r w:rsidRPr="00E3254B">
        <w:rPr>
          <w:b/>
          <w:bCs/>
        </w:rPr>
        <w:t>$24.94/MWh</w:t>
      </w:r>
      <w:r w:rsidRPr="00E3254B">
        <w:t>. Wind's estimated LCOE is approximately 41.7% lower than solar's in the selected base case.</w:t>
      </w:r>
    </w:p>
    <w:p w14:paraId="17AF97FA" w14:textId="77777777" w:rsidR="00E3254B" w:rsidRPr="00E3254B" w:rsidRDefault="00E3254B" w:rsidP="00E3254B">
      <w:r w:rsidRPr="00E3254B">
        <w:t>The results also demonstrate the importance of operating characteristics. Although land-based wind has a higher estimated capital cost per kilowatt, its capacity factor is substantially higher than that of utility-scale solar PV. This is consistent with wind's lower projected LCOE in the selected dataset.</w:t>
      </w:r>
    </w:p>
    <w:p w14:paraId="46660346" w14:textId="77777777" w:rsidR="00E3254B" w:rsidRPr="00E3254B" w:rsidRDefault="00E3254B" w:rsidP="00E3254B">
      <w:r w:rsidRPr="00E3254B">
        <w:t>A sensitivity analysis compares 20-year and 30-year cost recovery periods. Reducing the recovery period from 30 years to 20 years increases the reported LCOE of land-based wind by 11.22% and utility-scale solar PV by 17.84%.</w:t>
      </w:r>
    </w:p>
    <w:p w14:paraId="529869C6" w14:textId="77777777" w:rsidR="00E3254B" w:rsidRPr="00E3254B" w:rsidRDefault="00E3254B" w:rsidP="00E3254B">
      <w:r w:rsidRPr="00E3254B">
        <w:t xml:space="preserve">The findings suggest that generation cost comparisons should consider capital expenditure, operating costs, capacity factor, financing assumptions, and tax-credit </w:t>
      </w:r>
      <w:r w:rsidRPr="00E3254B">
        <w:lastRenderedPageBreak/>
        <w:t>treatment rather than capital cost alone. However, LCOE is only a measure of estimated generation cost and does not fully capture electricity market value, transmission constraints, or the system-level costs and benefits of variable renewable generation.</w:t>
      </w:r>
    </w:p>
    <w:p w14:paraId="3C1EA680" w14:textId="77777777" w:rsidR="00E3254B" w:rsidRPr="00E3254B" w:rsidRDefault="00E3254B" w:rsidP="00E3254B">
      <w:pPr>
        <w:rPr>
          <w:b/>
          <w:bCs/>
        </w:rPr>
      </w:pPr>
      <w:r w:rsidRPr="00E3254B">
        <w:rPr>
          <w:b/>
          <w:bCs/>
        </w:rPr>
        <w:t>2. Introduction</w:t>
      </w:r>
    </w:p>
    <w:p w14:paraId="7EE6409B" w14:textId="77777777" w:rsidR="00E3254B" w:rsidRPr="00E3254B" w:rsidRDefault="00E3254B" w:rsidP="00E3254B">
      <w:pPr>
        <w:rPr>
          <w:b/>
          <w:bCs/>
        </w:rPr>
      </w:pPr>
      <w:r w:rsidRPr="00E3254B">
        <w:rPr>
          <w:b/>
          <w:bCs/>
        </w:rPr>
        <w:t>2.1 Background</w:t>
      </w:r>
    </w:p>
    <w:p w14:paraId="62497EC8" w14:textId="77777777" w:rsidR="00E3254B" w:rsidRPr="00E3254B" w:rsidRDefault="00E3254B" w:rsidP="00E3254B">
      <w:r w:rsidRPr="00E3254B">
        <w:t>The U.S. electricity sector includes a mix of conventional and renewable generation technologies. As utilities, developers, policymakers, and energy market participants evaluate generation investments, understanding the cost of producing electricity is an important part of the decision-making process.</w:t>
      </w:r>
    </w:p>
    <w:p w14:paraId="38919DE4" w14:textId="77777777" w:rsidR="00E3254B" w:rsidRPr="00E3254B" w:rsidRDefault="00E3254B" w:rsidP="00E3254B">
      <w:r w:rsidRPr="00E3254B">
        <w:t>Solar and wind power are particularly relevant to generation-cost analysis because their economics depend on a combination of capital investment, operating expenditure, financing assumptions, resource availability, and expected electricity generation.</w:t>
      </w:r>
    </w:p>
    <w:p w14:paraId="4563087F" w14:textId="77777777" w:rsidR="00E3254B" w:rsidRPr="00E3254B" w:rsidRDefault="00E3254B" w:rsidP="00E3254B">
      <w:r w:rsidRPr="00E3254B">
        <w:t>However, comparing technologies using installation costs alone can be misleading. A technology with a lower upfront cost does not necessarily produce electricity at a lower lifetime cost. Similarly, differences in capacity factor and cost recovery assumptions can materially affect the results of an economic comparison.</w:t>
      </w:r>
    </w:p>
    <w:p w14:paraId="0349D3B8" w14:textId="77777777" w:rsidR="00E3254B" w:rsidRPr="00E3254B" w:rsidRDefault="00E3254B" w:rsidP="00E3254B">
      <w:r w:rsidRPr="00E3254B">
        <w:t>The levelized cost of electricity provides a standardized metric for comparing the estimated cost of electricity generation over a project's modeled economic life.</w:t>
      </w:r>
    </w:p>
    <w:p w14:paraId="424BFCAE" w14:textId="77777777" w:rsidR="00E3254B" w:rsidRPr="00E3254B" w:rsidRDefault="00E3254B" w:rsidP="00E3254B">
      <w:pPr>
        <w:rPr>
          <w:b/>
          <w:bCs/>
        </w:rPr>
      </w:pPr>
      <w:r w:rsidRPr="00E3254B">
        <w:rPr>
          <w:b/>
          <w:bCs/>
        </w:rPr>
        <w:t>2.2 Project Rationale</w:t>
      </w:r>
    </w:p>
    <w:p w14:paraId="782979F3" w14:textId="77777777" w:rsidR="00E3254B" w:rsidRPr="00E3254B" w:rsidRDefault="00E3254B" w:rsidP="00E3254B">
      <w:r w:rsidRPr="00E3254B">
        <w:t>This project was developed as a concise, data-driven exercise in energy market analysis. It uses published technology-cost projections rather than attempting to build a comprehensive electricity market model.</w:t>
      </w:r>
    </w:p>
    <w:p w14:paraId="6A384ED8" w14:textId="77777777" w:rsidR="00E3254B" w:rsidRPr="00E3254B" w:rsidRDefault="00E3254B" w:rsidP="00E3254B">
      <w:r w:rsidRPr="00E3254B">
        <w:t>The project demonstrates how an analyst can:</w:t>
      </w:r>
    </w:p>
    <w:p w14:paraId="0D35A025" w14:textId="77777777" w:rsidR="00E3254B" w:rsidRPr="00E3254B" w:rsidRDefault="00E3254B" w:rsidP="00E3254B">
      <w:pPr>
        <w:numPr>
          <w:ilvl w:val="0"/>
          <w:numId w:val="1"/>
        </w:numPr>
      </w:pPr>
      <w:r w:rsidRPr="00E3254B">
        <w:t>Identify and validate a relevant energy dataset.</w:t>
      </w:r>
    </w:p>
    <w:p w14:paraId="5D4D5F97" w14:textId="77777777" w:rsidR="00E3254B" w:rsidRPr="00E3254B" w:rsidRDefault="00E3254B" w:rsidP="00E3254B">
      <w:pPr>
        <w:numPr>
          <w:ilvl w:val="0"/>
          <w:numId w:val="1"/>
        </w:numPr>
      </w:pPr>
      <w:r w:rsidRPr="00E3254B">
        <w:t>Filter a large dataset using consistent analytical assumptions.</w:t>
      </w:r>
    </w:p>
    <w:p w14:paraId="7C590DE0" w14:textId="77777777" w:rsidR="00E3254B" w:rsidRPr="00E3254B" w:rsidRDefault="00E3254B" w:rsidP="00E3254B">
      <w:pPr>
        <w:numPr>
          <w:ilvl w:val="0"/>
          <w:numId w:val="1"/>
        </w:numPr>
      </w:pPr>
      <w:r w:rsidRPr="00E3254B">
        <w:t>Compare generation technologies using cost and operating metrics.</w:t>
      </w:r>
    </w:p>
    <w:p w14:paraId="7F764B66" w14:textId="77777777" w:rsidR="00E3254B" w:rsidRPr="00E3254B" w:rsidRDefault="00E3254B" w:rsidP="00E3254B">
      <w:pPr>
        <w:numPr>
          <w:ilvl w:val="0"/>
          <w:numId w:val="1"/>
        </w:numPr>
      </w:pPr>
      <w:r w:rsidRPr="00E3254B">
        <w:t>Quantify the effect of a financial assumption through sensitivity analysis.</w:t>
      </w:r>
    </w:p>
    <w:p w14:paraId="78378029" w14:textId="77777777" w:rsidR="00E3254B" w:rsidRPr="00E3254B" w:rsidRDefault="00E3254B" w:rsidP="00E3254B">
      <w:pPr>
        <w:numPr>
          <w:ilvl w:val="0"/>
          <w:numId w:val="1"/>
        </w:numPr>
      </w:pPr>
      <w:r w:rsidRPr="00E3254B">
        <w:t>Visualize results and translate numerical findings into business insights.</w:t>
      </w:r>
    </w:p>
    <w:p w14:paraId="043CABB2" w14:textId="77777777" w:rsidR="00E3254B" w:rsidRPr="00E3254B" w:rsidRDefault="00E3254B" w:rsidP="00E3254B">
      <w:pPr>
        <w:numPr>
          <w:ilvl w:val="0"/>
          <w:numId w:val="1"/>
        </w:numPr>
      </w:pPr>
      <w:r w:rsidRPr="00E3254B">
        <w:t>Explain the limitations of an economic metric before drawing conclusions.</w:t>
      </w:r>
    </w:p>
    <w:p w14:paraId="26937673" w14:textId="77777777" w:rsidR="00E3254B" w:rsidRPr="00E3254B" w:rsidRDefault="00E3254B" w:rsidP="00E3254B">
      <w:pPr>
        <w:rPr>
          <w:b/>
          <w:bCs/>
        </w:rPr>
      </w:pPr>
      <w:r w:rsidRPr="00E3254B">
        <w:rPr>
          <w:b/>
          <w:bCs/>
        </w:rPr>
        <w:t>2.3 Project Objectives</w:t>
      </w:r>
    </w:p>
    <w:p w14:paraId="0233E8C2" w14:textId="77777777" w:rsidR="00E3254B" w:rsidRPr="00E3254B" w:rsidRDefault="00E3254B" w:rsidP="00E3254B">
      <w:r w:rsidRPr="00E3254B">
        <w:lastRenderedPageBreak/>
        <w:t>The project has three primary objectives:</w:t>
      </w:r>
    </w:p>
    <w:p w14:paraId="1C74F8D3" w14:textId="77777777" w:rsidR="00E3254B" w:rsidRPr="00E3254B" w:rsidRDefault="00E3254B" w:rsidP="00E3254B">
      <w:pPr>
        <w:numPr>
          <w:ilvl w:val="0"/>
          <w:numId w:val="2"/>
        </w:numPr>
      </w:pPr>
      <w:r w:rsidRPr="00E3254B">
        <w:t>Compare the projected 2027 LCOE of utility-scale solar PV and land-based wind in the United States.</w:t>
      </w:r>
    </w:p>
    <w:p w14:paraId="4E7A7FC9" w14:textId="77777777" w:rsidR="00E3254B" w:rsidRPr="00E3254B" w:rsidRDefault="00E3254B" w:rsidP="00E3254B">
      <w:pPr>
        <w:numPr>
          <w:ilvl w:val="0"/>
          <w:numId w:val="2"/>
        </w:numPr>
      </w:pPr>
      <w:r w:rsidRPr="00E3254B">
        <w:t>Evaluate how changing the cost recovery period from 30 years to 20 years affects each technology's LCOE.</w:t>
      </w:r>
    </w:p>
    <w:p w14:paraId="4C85174A" w14:textId="77777777" w:rsidR="00E3254B" w:rsidRPr="00E3254B" w:rsidRDefault="00E3254B" w:rsidP="00E3254B">
      <w:pPr>
        <w:numPr>
          <w:ilvl w:val="0"/>
          <w:numId w:val="2"/>
        </w:numPr>
      </w:pPr>
      <w:r w:rsidRPr="00E3254B">
        <w:t>Identify the limitations of LCOE as a standalone measure of electricity market competitiveness.</w:t>
      </w:r>
    </w:p>
    <w:p w14:paraId="28DB407C" w14:textId="77777777" w:rsidR="00E3254B" w:rsidRPr="00E3254B" w:rsidRDefault="00E3254B" w:rsidP="00E3254B">
      <w:pPr>
        <w:rPr>
          <w:b/>
          <w:bCs/>
        </w:rPr>
      </w:pPr>
      <w:r w:rsidRPr="00E3254B">
        <w:rPr>
          <w:b/>
          <w:bCs/>
        </w:rPr>
        <w:t>3. Dataset Description</w:t>
      </w:r>
    </w:p>
    <w:p w14:paraId="7E459D46" w14:textId="77777777" w:rsidR="00E3254B" w:rsidRPr="00E3254B" w:rsidRDefault="00E3254B" w:rsidP="00E3254B">
      <w:pPr>
        <w:rPr>
          <w:b/>
          <w:bCs/>
        </w:rPr>
      </w:pPr>
      <w:r w:rsidRPr="00E3254B">
        <w:rPr>
          <w:b/>
          <w:bCs/>
        </w:rPr>
        <w:t>3.1 Data Source</w:t>
      </w:r>
    </w:p>
    <w:p w14:paraId="4FAF8A87" w14:textId="77777777" w:rsidR="00E3254B" w:rsidRPr="00E3254B" w:rsidRDefault="00E3254B" w:rsidP="00E3254B">
      <w:r w:rsidRPr="00E3254B">
        <w:t>The analysis uses the NREL 2024 Annual Technology Baseline (ATB) dataset, stored locally as ATBe.csv.</w:t>
      </w:r>
    </w:p>
    <w:p w14:paraId="1C623FE0" w14:textId="77777777" w:rsidR="00E3254B" w:rsidRPr="00E3254B" w:rsidRDefault="00E3254B" w:rsidP="00E3254B">
      <w:r w:rsidRPr="00E3254B">
        <w:t>The ATB provides technology-cost and performance assumptions used to analyze electricity generation technologies under different scenarios and financial conditions. The downloaded dataset contains records for multiple technologies, cost metrics, projection years, scenarios, and financing assumptions.</w:t>
      </w:r>
    </w:p>
    <w:p w14:paraId="00393E42" w14:textId="77777777" w:rsidR="00E3254B" w:rsidRPr="00E3254B" w:rsidRDefault="00E3254B" w:rsidP="00E3254B">
      <w:r w:rsidRPr="00E3254B">
        <w:t>The source dataset is used directly in the analysis. The project does not independently estimate the underlying technology costs.</w:t>
      </w:r>
    </w:p>
    <w:p w14:paraId="2F162133" w14:textId="77777777" w:rsidR="00E3254B" w:rsidRPr="00E3254B" w:rsidRDefault="00E3254B" w:rsidP="00E3254B">
      <w:pPr>
        <w:rPr>
          <w:b/>
          <w:bCs/>
        </w:rPr>
      </w:pPr>
      <w:r w:rsidRPr="00E3254B">
        <w:rPr>
          <w:b/>
          <w:bCs/>
        </w:rPr>
        <w:t>3.2 Dataset Structure</w:t>
      </w:r>
    </w:p>
    <w:p w14:paraId="7F047658" w14:textId="77777777" w:rsidR="00E3254B" w:rsidRPr="00E3254B" w:rsidRDefault="00E3254B" w:rsidP="00E3254B">
      <w:r w:rsidRPr="00E3254B">
        <w:t>The initial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1"/>
        <w:gridCol w:w="913"/>
      </w:tblGrid>
      <w:tr w:rsidR="00E3254B" w:rsidRPr="00E3254B" w14:paraId="3FF861BB" w14:textId="77777777">
        <w:trPr>
          <w:tblCellSpacing w:w="15" w:type="dxa"/>
        </w:trPr>
        <w:tc>
          <w:tcPr>
            <w:tcW w:w="0" w:type="auto"/>
            <w:vAlign w:val="center"/>
            <w:hideMark/>
          </w:tcPr>
          <w:p w14:paraId="693D0DDF" w14:textId="77777777" w:rsidR="00E3254B" w:rsidRPr="00E3254B" w:rsidRDefault="00E3254B" w:rsidP="00E3254B">
            <w:pPr>
              <w:rPr>
                <w:b/>
                <w:bCs/>
              </w:rPr>
            </w:pPr>
            <w:r w:rsidRPr="00E3254B">
              <w:rPr>
                <w:b/>
                <w:bCs/>
              </w:rPr>
              <w:t>Attribute</w:t>
            </w:r>
          </w:p>
        </w:tc>
        <w:tc>
          <w:tcPr>
            <w:tcW w:w="0" w:type="auto"/>
            <w:vAlign w:val="center"/>
            <w:hideMark/>
          </w:tcPr>
          <w:p w14:paraId="664A003F" w14:textId="77777777" w:rsidR="00E3254B" w:rsidRPr="00E3254B" w:rsidRDefault="00E3254B" w:rsidP="00E3254B">
            <w:pPr>
              <w:rPr>
                <w:b/>
                <w:bCs/>
              </w:rPr>
            </w:pPr>
            <w:r w:rsidRPr="00E3254B">
              <w:rPr>
                <w:b/>
                <w:bCs/>
              </w:rPr>
              <w:t>Value</w:t>
            </w:r>
          </w:p>
        </w:tc>
      </w:tr>
      <w:tr w:rsidR="00E3254B" w:rsidRPr="00E3254B" w14:paraId="543A2F7B" w14:textId="77777777">
        <w:trPr>
          <w:tblCellSpacing w:w="15" w:type="dxa"/>
        </w:trPr>
        <w:tc>
          <w:tcPr>
            <w:tcW w:w="0" w:type="auto"/>
            <w:vAlign w:val="center"/>
            <w:hideMark/>
          </w:tcPr>
          <w:p w14:paraId="36CA0B8A" w14:textId="77777777" w:rsidR="00E3254B" w:rsidRPr="00E3254B" w:rsidRDefault="00E3254B" w:rsidP="00E3254B">
            <w:r w:rsidRPr="00E3254B">
              <w:t>Total records</w:t>
            </w:r>
          </w:p>
        </w:tc>
        <w:tc>
          <w:tcPr>
            <w:tcW w:w="0" w:type="auto"/>
            <w:vAlign w:val="center"/>
            <w:hideMark/>
          </w:tcPr>
          <w:p w14:paraId="0029875A" w14:textId="77777777" w:rsidR="00E3254B" w:rsidRPr="00E3254B" w:rsidRDefault="00E3254B" w:rsidP="00E3254B">
            <w:r w:rsidRPr="00E3254B">
              <w:t>572,232</w:t>
            </w:r>
          </w:p>
        </w:tc>
      </w:tr>
      <w:tr w:rsidR="00E3254B" w:rsidRPr="00E3254B" w14:paraId="4E75CAFF" w14:textId="77777777">
        <w:trPr>
          <w:tblCellSpacing w:w="15" w:type="dxa"/>
        </w:trPr>
        <w:tc>
          <w:tcPr>
            <w:tcW w:w="0" w:type="auto"/>
            <w:vAlign w:val="center"/>
            <w:hideMark/>
          </w:tcPr>
          <w:p w14:paraId="573C6CD5" w14:textId="77777777" w:rsidR="00E3254B" w:rsidRPr="00E3254B" w:rsidRDefault="00E3254B" w:rsidP="00E3254B">
            <w:r w:rsidRPr="00E3254B">
              <w:t>Total columns</w:t>
            </w:r>
          </w:p>
        </w:tc>
        <w:tc>
          <w:tcPr>
            <w:tcW w:w="0" w:type="auto"/>
            <w:vAlign w:val="center"/>
            <w:hideMark/>
          </w:tcPr>
          <w:p w14:paraId="442805DD" w14:textId="77777777" w:rsidR="00E3254B" w:rsidRPr="00E3254B" w:rsidRDefault="00E3254B" w:rsidP="00E3254B">
            <w:r w:rsidRPr="00E3254B">
              <w:t>20</w:t>
            </w:r>
          </w:p>
        </w:tc>
      </w:tr>
      <w:tr w:rsidR="00E3254B" w:rsidRPr="00E3254B" w14:paraId="7B6EFE4A" w14:textId="77777777">
        <w:trPr>
          <w:tblCellSpacing w:w="15" w:type="dxa"/>
        </w:trPr>
        <w:tc>
          <w:tcPr>
            <w:tcW w:w="0" w:type="auto"/>
            <w:vAlign w:val="center"/>
            <w:hideMark/>
          </w:tcPr>
          <w:p w14:paraId="17F97F11" w14:textId="77777777" w:rsidR="00E3254B" w:rsidRPr="00E3254B" w:rsidRDefault="00E3254B" w:rsidP="00E3254B">
            <w:r w:rsidRPr="00E3254B">
              <w:t>ATB publication year</w:t>
            </w:r>
          </w:p>
        </w:tc>
        <w:tc>
          <w:tcPr>
            <w:tcW w:w="0" w:type="auto"/>
            <w:vAlign w:val="center"/>
            <w:hideMark/>
          </w:tcPr>
          <w:p w14:paraId="598C6E44" w14:textId="77777777" w:rsidR="00E3254B" w:rsidRPr="00E3254B" w:rsidRDefault="00E3254B" w:rsidP="00E3254B">
            <w:r w:rsidRPr="00E3254B">
              <w:t>2024</w:t>
            </w:r>
          </w:p>
        </w:tc>
      </w:tr>
      <w:tr w:rsidR="00E3254B" w:rsidRPr="00E3254B" w14:paraId="0B64704F" w14:textId="77777777">
        <w:trPr>
          <w:tblCellSpacing w:w="15" w:type="dxa"/>
        </w:trPr>
        <w:tc>
          <w:tcPr>
            <w:tcW w:w="0" w:type="auto"/>
            <w:vAlign w:val="center"/>
            <w:hideMark/>
          </w:tcPr>
          <w:p w14:paraId="6C1E6A0C" w14:textId="77777777" w:rsidR="00E3254B" w:rsidRPr="00E3254B" w:rsidRDefault="00E3254B" w:rsidP="00E3254B">
            <w:r w:rsidRPr="00E3254B">
              <w:t>Projection year used</w:t>
            </w:r>
          </w:p>
        </w:tc>
        <w:tc>
          <w:tcPr>
            <w:tcW w:w="0" w:type="auto"/>
            <w:vAlign w:val="center"/>
            <w:hideMark/>
          </w:tcPr>
          <w:p w14:paraId="65D7304A" w14:textId="77777777" w:rsidR="00E3254B" w:rsidRPr="00E3254B" w:rsidRDefault="00E3254B" w:rsidP="00E3254B">
            <w:r w:rsidRPr="00E3254B">
              <w:t>2027</w:t>
            </w:r>
          </w:p>
        </w:tc>
      </w:tr>
      <w:tr w:rsidR="00E3254B" w:rsidRPr="00E3254B" w14:paraId="0D2FD164" w14:textId="77777777">
        <w:trPr>
          <w:tblCellSpacing w:w="15" w:type="dxa"/>
        </w:trPr>
        <w:tc>
          <w:tcPr>
            <w:tcW w:w="0" w:type="auto"/>
            <w:vAlign w:val="center"/>
            <w:hideMark/>
          </w:tcPr>
          <w:p w14:paraId="27354FFB" w14:textId="77777777" w:rsidR="00E3254B" w:rsidRPr="00E3254B" w:rsidRDefault="00E3254B" w:rsidP="00E3254B">
            <w:r w:rsidRPr="00E3254B">
              <w:t>Technologies selected for comparison</w:t>
            </w:r>
          </w:p>
        </w:tc>
        <w:tc>
          <w:tcPr>
            <w:tcW w:w="0" w:type="auto"/>
            <w:vAlign w:val="center"/>
            <w:hideMark/>
          </w:tcPr>
          <w:p w14:paraId="434A1C63" w14:textId="77777777" w:rsidR="00E3254B" w:rsidRPr="00E3254B" w:rsidRDefault="00E3254B" w:rsidP="00E3254B">
            <w:r w:rsidRPr="00E3254B">
              <w:t>2</w:t>
            </w:r>
          </w:p>
        </w:tc>
      </w:tr>
      <w:tr w:rsidR="00E3254B" w:rsidRPr="00E3254B" w14:paraId="042FEA98" w14:textId="77777777">
        <w:trPr>
          <w:tblCellSpacing w:w="15" w:type="dxa"/>
        </w:trPr>
        <w:tc>
          <w:tcPr>
            <w:tcW w:w="0" w:type="auto"/>
            <w:vAlign w:val="center"/>
            <w:hideMark/>
          </w:tcPr>
          <w:p w14:paraId="7E80B17B" w14:textId="77777777" w:rsidR="00E3254B" w:rsidRPr="00E3254B" w:rsidRDefault="00E3254B" w:rsidP="00E3254B">
            <w:r w:rsidRPr="00E3254B">
              <w:t>Base-case records after initial filtering</w:t>
            </w:r>
          </w:p>
        </w:tc>
        <w:tc>
          <w:tcPr>
            <w:tcW w:w="0" w:type="auto"/>
            <w:vAlign w:val="center"/>
            <w:hideMark/>
          </w:tcPr>
          <w:p w14:paraId="2A25B8D1" w14:textId="77777777" w:rsidR="00E3254B" w:rsidRPr="00E3254B" w:rsidRDefault="00E3254B" w:rsidP="00E3254B">
            <w:r w:rsidRPr="00E3254B">
              <w:t>198</w:t>
            </w:r>
          </w:p>
        </w:tc>
      </w:tr>
      <w:tr w:rsidR="00E3254B" w:rsidRPr="00E3254B" w14:paraId="64712A4C" w14:textId="77777777">
        <w:trPr>
          <w:tblCellSpacing w:w="15" w:type="dxa"/>
        </w:trPr>
        <w:tc>
          <w:tcPr>
            <w:tcW w:w="0" w:type="auto"/>
            <w:vAlign w:val="center"/>
            <w:hideMark/>
          </w:tcPr>
          <w:p w14:paraId="3D477354" w14:textId="77777777" w:rsidR="00E3254B" w:rsidRPr="00E3254B" w:rsidRDefault="00E3254B" w:rsidP="00E3254B">
            <w:r w:rsidRPr="00E3254B">
              <w:t>Records for the two selected technologies before metric filtering</w:t>
            </w:r>
          </w:p>
        </w:tc>
        <w:tc>
          <w:tcPr>
            <w:tcW w:w="0" w:type="auto"/>
            <w:vAlign w:val="center"/>
            <w:hideMark/>
          </w:tcPr>
          <w:p w14:paraId="79203A80" w14:textId="77777777" w:rsidR="00E3254B" w:rsidRPr="00E3254B" w:rsidRDefault="00E3254B" w:rsidP="00E3254B">
            <w:r w:rsidRPr="00E3254B">
              <w:t>16</w:t>
            </w:r>
          </w:p>
        </w:tc>
      </w:tr>
      <w:tr w:rsidR="00E3254B" w:rsidRPr="00E3254B" w14:paraId="312A727D" w14:textId="77777777">
        <w:trPr>
          <w:tblCellSpacing w:w="15" w:type="dxa"/>
        </w:trPr>
        <w:tc>
          <w:tcPr>
            <w:tcW w:w="0" w:type="auto"/>
            <w:vAlign w:val="center"/>
            <w:hideMark/>
          </w:tcPr>
          <w:p w14:paraId="647091BB" w14:textId="77777777" w:rsidR="00E3254B" w:rsidRPr="00E3254B" w:rsidRDefault="00E3254B" w:rsidP="00E3254B">
            <w:r w:rsidRPr="00E3254B">
              <w:lastRenderedPageBreak/>
              <w:t>Final technology metrics used</w:t>
            </w:r>
          </w:p>
        </w:tc>
        <w:tc>
          <w:tcPr>
            <w:tcW w:w="0" w:type="auto"/>
            <w:vAlign w:val="center"/>
            <w:hideMark/>
          </w:tcPr>
          <w:p w14:paraId="4D9390E5" w14:textId="77777777" w:rsidR="00E3254B" w:rsidRPr="00E3254B" w:rsidRDefault="00E3254B" w:rsidP="00E3254B">
            <w:r w:rsidRPr="00E3254B">
              <w:t>8</w:t>
            </w:r>
          </w:p>
        </w:tc>
      </w:tr>
    </w:tbl>
    <w:p w14:paraId="44770252" w14:textId="77777777" w:rsidR="00E3254B" w:rsidRPr="00E3254B" w:rsidRDefault="00E3254B" w:rsidP="00E3254B">
      <w:r w:rsidRPr="00E3254B">
        <w:t>The 20 columns contain information such as:</w:t>
      </w:r>
    </w:p>
    <w:p w14:paraId="24A0E69F" w14:textId="77777777" w:rsidR="00E3254B" w:rsidRPr="00E3254B" w:rsidRDefault="00E3254B" w:rsidP="00E3254B">
      <w:pPr>
        <w:numPr>
          <w:ilvl w:val="0"/>
          <w:numId w:val="3"/>
        </w:numPr>
      </w:pPr>
      <w:r w:rsidRPr="00E3254B">
        <w:t>atb_year: ATB publication year.</w:t>
      </w:r>
    </w:p>
    <w:p w14:paraId="4BBC2BA4" w14:textId="77777777" w:rsidR="00E3254B" w:rsidRPr="00E3254B" w:rsidRDefault="00E3254B" w:rsidP="00E3254B">
      <w:pPr>
        <w:numPr>
          <w:ilvl w:val="0"/>
          <w:numId w:val="3"/>
        </w:numPr>
      </w:pPr>
      <w:r w:rsidRPr="00E3254B">
        <w:t>core_metric_parameter: The metric being reported, such as CAPEX, Fixed O&amp;M, CF, or LCOE.</w:t>
      </w:r>
    </w:p>
    <w:p w14:paraId="0CE3102B" w14:textId="77777777" w:rsidR="00E3254B" w:rsidRPr="00E3254B" w:rsidRDefault="00E3254B" w:rsidP="00E3254B">
      <w:pPr>
        <w:numPr>
          <w:ilvl w:val="0"/>
          <w:numId w:val="3"/>
        </w:numPr>
      </w:pPr>
      <w:r w:rsidRPr="00E3254B">
        <w:t>core_metric_case: The market or research case.</w:t>
      </w:r>
    </w:p>
    <w:p w14:paraId="7DEFF013" w14:textId="77777777" w:rsidR="00E3254B" w:rsidRPr="00E3254B" w:rsidRDefault="00E3254B" w:rsidP="00E3254B">
      <w:pPr>
        <w:numPr>
          <w:ilvl w:val="0"/>
          <w:numId w:val="3"/>
        </w:numPr>
      </w:pPr>
      <w:r w:rsidRPr="00E3254B">
        <w:t>tax_credit_case: The tax-credit assumption.</w:t>
      </w:r>
    </w:p>
    <w:p w14:paraId="78D9FA6A" w14:textId="77777777" w:rsidR="00E3254B" w:rsidRPr="00E3254B" w:rsidRDefault="00E3254B" w:rsidP="00E3254B">
      <w:pPr>
        <w:numPr>
          <w:ilvl w:val="0"/>
          <w:numId w:val="3"/>
        </w:numPr>
      </w:pPr>
      <w:r w:rsidRPr="00E3254B">
        <w:t>crpyears: The cost recovery period in years.</w:t>
      </w:r>
    </w:p>
    <w:p w14:paraId="5D68BBE7" w14:textId="77777777" w:rsidR="00E3254B" w:rsidRPr="00E3254B" w:rsidRDefault="00E3254B" w:rsidP="00E3254B">
      <w:pPr>
        <w:numPr>
          <w:ilvl w:val="0"/>
          <w:numId w:val="3"/>
        </w:numPr>
      </w:pPr>
      <w:r w:rsidRPr="00E3254B">
        <w:t>technology_alias: The standardized technology name.</w:t>
      </w:r>
    </w:p>
    <w:p w14:paraId="15FD6F74" w14:textId="77777777" w:rsidR="00E3254B" w:rsidRPr="00E3254B" w:rsidRDefault="00E3254B" w:rsidP="00E3254B">
      <w:pPr>
        <w:numPr>
          <w:ilvl w:val="0"/>
          <w:numId w:val="3"/>
        </w:numPr>
      </w:pPr>
      <w:r w:rsidRPr="00E3254B">
        <w:t>techdetail: The technology class.</w:t>
      </w:r>
    </w:p>
    <w:p w14:paraId="36A96326" w14:textId="77777777" w:rsidR="00E3254B" w:rsidRPr="00E3254B" w:rsidRDefault="00E3254B" w:rsidP="00E3254B">
      <w:pPr>
        <w:numPr>
          <w:ilvl w:val="0"/>
          <w:numId w:val="3"/>
        </w:numPr>
      </w:pPr>
      <w:r w:rsidRPr="00E3254B">
        <w:t>scenario: The scenario designation.</w:t>
      </w:r>
    </w:p>
    <w:p w14:paraId="1B4D7083" w14:textId="77777777" w:rsidR="00E3254B" w:rsidRPr="00E3254B" w:rsidRDefault="00E3254B" w:rsidP="00E3254B">
      <w:pPr>
        <w:numPr>
          <w:ilvl w:val="0"/>
          <w:numId w:val="3"/>
        </w:numPr>
      </w:pPr>
      <w:r w:rsidRPr="00E3254B">
        <w:t>core_metric_variable: The projection year in the selected records.</w:t>
      </w:r>
    </w:p>
    <w:p w14:paraId="04E224EA" w14:textId="77777777" w:rsidR="00E3254B" w:rsidRPr="00E3254B" w:rsidRDefault="00E3254B" w:rsidP="00E3254B">
      <w:pPr>
        <w:numPr>
          <w:ilvl w:val="0"/>
          <w:numId w:val="3"/>
        </w:numPr>
      </w:pPr>
      <w:r w:rsidRPr="00E3254B">
        <w:t>value: The reported numerical value of the metric.</w:t>
      </w:r>
    </w:p>
    <w:p w14:paraId="72AED7E2" w14:textId="77777777" w:rsidR="00E3254B" w:rsidRPr="00E3254B" w:rsidRDefault="00E3254B" w:rsidP="00E3254B">
      <w:pPr>
        <w:rPr>
          <w:b/>
          <w:bCs/>
        </w:rPr>
      </w:pPr>
      <w:r w:rsidRPr="00E3254B">
        <w:rPr>
          <w:b/>
          <w:bCs/>
        </w:rPr>
        <w:t>3.3 Data Quality Review</w:t>
      </w:r>
    </w:p>
    <w:p w14:paraId="389CDFC1" w14:textId="77777777" w:rsidR="00E3254B" w:rsidRPr="00E3254B" w:rsidRDefault="00E3254B" w:rsidP="00E3254B">
      <w:r w:rsidRPr="00E3254B">
        <w:t>The initial inspection identified missing values in several columns. The units column was entirely missing, while tax_credit_case, resourcedetail, techdetail2, and other metadata fields also contained missing values.</w:t>
      </w:r>
    </w:p>
    <w:p w14:paraId="7540C341" w14:textId="77777777" w:rsidR="00E3254B" w:rsidRPr="00E3254B" w:rsidRDefault="00E3254B" w:rsidP="00E3254B">
      <w:r w:rsidRPr="00E3254B">
        <w:t>Missing metadata does not automatically make a record unusable. Instead, the project selects records using the fields required for the analysis and avoids relying on missing values where they are not needed.</w:t>
      </w:r>
    </w:p>
    <w:p w14:paraId="508F9424" w14:textId="77777777" w:rsidR="00E3254B" w:rsidRPr="00E3254B" w:rsidRDefault="00E3254B" w:rsidP="00E3254B">
      <w:r w:rsidRPr="00E3254B">
        <w:t>The dataset was also checked for available publication years, market cases, and scenarios. The selected records correspond to the 2024 ATB, the Market case, and the Moderate scenario.</w:t>
      </w:r>
    </w:p>
    <w:p w14:paraId="2F3308EA" w14:textId="77777777" w:rsidR="00E3254B" w:rsidRPr="00E3254B" w:rsidRDefault="00E3254B" w:rsidP="00E3254B">
      <w:pPr>
        <w:rPr>
          <w:b/>
          <w:bCs/>
        </w:rPr>
      </w:pPr>
      <w:r w:rsidRPr="00E3254B">
        <w:rPr>
          <w:b/>
          <w:bCs/>
        </w:rPr>
        <w:t>3.4 Scope of the Dataset</w:t>
      </w:r>
    </w:p>
    <w:p w14:paraId="53E9B8B2" w14:textId="77777777" w:rsidR="00E3254B" w:rsidRPr="00E3254B" w:rsidRDefault="00E3254B" w:rsidP="00E3254B">
      <w:r w:rsidRPr="00E3254B">
        <w:t>Although natural gas records were examined during data exploration, natural gas was excluded from the final numerical comparison. The project does not establish a directly comparable fossil-generation LCOE result using the same selected inputs.</w:t>
      </w:r>
    </w:p>
    <w:p w14:paraId="485F6DA3" w14:textId="77777777" w:rsidR="00E3254B" w:rsidRPr="00E3254B" w:rsidRDefault="00E3254B" w:rsidP="00E3254B">
      <w:r w:rsidRPr="00E3254B">
        <w:t>The final analysis therefore focuses exclusively on utility-scale solar PV and land-based wind.</w:t>
      </w:r>
    </w:p>
    <w:p w14:paraId="0FFDF26A" w14:textId="77777777" w:rsidR="00E3254B" w:rsidRPr="00E3254B" w:rsidRDefault="00E3254B" w:rsidP="00E3254B">
      <w:pPr>
        <w:rPr>
          <w:b/>
          <w:bCs/>
        </w:rPr>
      </w:pPr>
      <w:r w:rsidRPr="00E3254B">
        <w:rPr>
          <w:b/>
          <w:bCs/>
        </w:rPr>
        <w:lastRenderedPageBreak/>
        <w:t>4. Methodology</w:t>
      </w:r>
    </w:p>
    <w:p w14:paraId="1C498B13" w14:textId="77777777" w:rsidR="00E3254B" w:rsidRPr="00E3254B" w:rsidRDefault="00E3254B" w:rsidP="00E3254B">
      <w:pPr>
        <w:rPr>
          <w:b/>
          <w:bCs/>
        </w:rPr>
      </w:pPr>
      <w:r w:rsidRPr="00E3254B">
        <w:rPr>
          <w:b/>
          <w:bCs/>
        </w:rPr>
        <w:t>4.1 Analytical Approach</w:t>
      </w:r>
    </w:p>
    <w:p w14:paraId="4C692514" w14:textId="77777777" w:rsidR="00E3254B" w:rsidRPr="00E3254B" w:rsidRDefault="00E3254B" w:rsidP="00E3254B">
      <w:r w:rsidRPr="00E3254B">
        <w:t>The project follows a descriptive and comparative analytical approach. It does not use machine learning or attempt to forecast electricity prices.</w:t>
      </w:r>
    </w:p>
    <w:p w14:paraId="78C04D8C" w14:textId="77777777" w:rsidR="00E3254B" w:rsidRPr="00E3254B" w:rsidRDefault="00E3254B" w:rsidP="00E3254B">
      <w:r w:rsidRPr="00E3254B">
        <w:t>The workflow consists of data loading, data validation, base-case filtering, technology selection, metric reshaping, comparative analysis, visualization, sensitivity analysis, and interpretation.</w:t>
      </w:r>
    </w:p>
    <w:p w14:paraId="046BF989" w14:textId="77777777" w:rsidR="00E3254B" w:rsidRPr="00E3254B" w:rsidRDefault="00E3254B" w:rsidP="00E3254B">
      <w:pPr>
        <w:rPr>
          <w:b/>
          <w:bCs/>
        </w:rPr>
      </w:pPr>
      <w:r w:rsidRPr="00E3254B">
        <w:rPr>
          <w:b/>
          <w:bCs/>
        </w:rPr>
        <w:t>4.2 Base-Case Assumptions</w:t>
      </w:r>
    </w:p>
    <w:p w14:paraId="3D50B20B" w14:textId="77777777" w:rsidR="00E3254B" w:rsidRPr="00E3254B" w:rsidRDefault="00E3254B" w:rsidP="00E3254B">
      <w:r w:rsidRPr="00E3254B">
        <w:t>To maintain consistency, both technologies are evaluated using the following selected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2790"/>
      </w:tblGrid>
      <w:tr w:rsidR="00E3254B" w:rsidRPr="00E3254B" w14:paraId="198669B3" w14:textId="77777777">
        <w:trPr>
          <w:tblCellSpacing w:w="15" w:type="dxa"/>
        </w:trPr>
        <w:tc>
          <w:tcPr>
            <w:tcW w:w="0" w:type="auto"/>
            <w:vAlign w:val="center"/>
            <w:hideMark/>
          </w:tcPr>
          <w:p w14:paraId="5BCB2F74" w14:textId="77777777" w:rsidR="00E3254B" w:rsidRPr="00E3254B" w:rsidRDefault="00E3254B" w:rsidP="00E3254B">
            <w:pPr>
              <w:rPr>
                <w:b/>
                <w:bCs/>
              </w:rPr>
            </w:pPr>
            <w:r w:rsidRPr="00E3254B">
              <w:rPr>
                <w:b/>
                <w:bCs/>
              </w:rPr>
              <w:t>Assumption</w:t>
            </w:r>
          </w:p>
        </w:tc>
        <w:tc>
          <w:tcPr>
            <w:tcW w:w="0" w:type="auto"/>
            <w:vAlign w:val="center"/>
            <w:hideMark/>
          </w:tcPr>
          <w:p w14:paraId="1CE85EB8" w14:textId="77777777" w:rsidR="00E3254B" w:rsidRPr="00E3254B" w:rsidRDefault="00E3254B" w:rsidP="00E3254B">
            <w:pPr>
              <w:rPr>
                <w:b/>
                <w:bCs/>
              </w:rPr>
            </w:pPr>
            <w:r w:rsidRPr="00E3254B">
              <w:rPr>
                <w:b/>
                <w:bCs/>
              </w:rPr>
              <w:t>Selected value</w:t>
            </w:r>
          </w:p>
        </w:tc>
      </w:tr>
      <w:tr w:rsidR="00E3254B" w:rsidRPr="00E3254B" w14:paraId="0694721C" w14:textId="77777777">
        <w:trPr>
          <w:tblCellSpacing w:w="15" w:type="dxa"/>
        </w:trPr>
        <w:tc>
          <w:tcPr>
            <w:tcW w:w="0" w:type="auto"/>
            <w:vAlign w:val="center"/>
            <w:hideMark/>
          </w:tcPr>
          <w:p w14:paraId="5491BBFD" w14:textId="77777777" w:rsidR="00E3254B" w:rsidRPr="00E3254B" w:rsidRDefault="00E3254B" w:rsidP="00E3254B">
            <w:r w:rsidRPr="00E3254B">
              <w:t>Data source</w:t>
            </w:r>
          </w:p>
        </w:tc>
        <w:tc>
          <w:tcPr>
            <w:tcW w:w="0" w:type="auto"/>
            <w:vAlign w:val="center"/>
            <w:hideMark/>
          </w:tcPr>
          <w:p w14:paraId="75E5A915" w14:textId="77777777" w:rsidR="00E3254B" w:rsidRPr="00E3254B" w:rsidRDefault="00E3254B" w:rsidP="00E3254B">
            <w:r w:rsidRPr="00E3254B">
              <w:t>NREL ATB 2024</w:t>
            </w:r>
          </w:p>
        </w:tc>
      </w:tr>
      <w:tr w:rsidR="00E3254B" w:rsidRPr="00E3254B" w14:paraId="1B0060BE" w14:textId="77777777">
        <w:trPr>
          <w:tblCellSpacing w:w="15" w:type="dxa"/>
        </w:trPr>
        <w:tc>
          <w:tcPr>
            <w:tcW w:w="0" w:type="auto"/>
            <w:vAlign w:val="center"/>
            <w:hideMark/>
          </w:tcPr>
          <w:p w14:paraId="07EA49CF" w14:textId="77777777" w:rsidR="00E3254B" w:rsidRPr="00E3254B" w:rsidRDefault="00E3254B" w:rsidP="00E3254B">
            <w:r w:rsidRPr="00E3254B">
              <w:t>Market case</w:t>
            </w:r>
          </w:p>
        </w:tc>
        <w:tc>
          <w:tcPr>
            <w:tcW w:w="0" w:type="auto"/>
            <w:vAlign w:val="center"/>
            <w:hideMark/>
          </w:tcPr>
          <w:p w14:paraId="421E2F10" w14:textId="77777777" w:rsidR="00E3254B" w:rsidRPr="00E3254B" w:rsidRDefault="00E3254B" w:rsidP="00E3254B">
            <w:r w:rsidRPr="00E3254B">
              <w:t>Market</w:t>
            </w:r>
          </w:p>
        </w:tc>
      </w:tr>
      <w:tr w:rsidR="00E3254B" w:rsidRPr="00E3254B" w14:paraId="7D71370E" w14:textId="77777777">
        <w:trPr>
          <w:tblCellSpacing w:w="15" w:type="dxa"/>
        </w:trPr>
        <w:tc>
          <w:tcPr>
            <w:tcW w:w="0" w:type="auto"/>
            <w:vAlign w:val="center"/>
            <w:hideMark/>
          </w:tcPr>
          <w:p w14:paraId="788C0A06" w14:textId="77777777" w:rsidR="00E3254B" w:rsidRPr="00E3254B" w:rsidRDefault="00E3254B" w:rsidP="00E3254B">
            <w:r w:rsidRPr="00E3254B">
              <w:t>Scenario</w:t>
            </w:r>
          </w:p>
        </w:tc>
        <w:tc>
          <w:tcPr>
            <w:tcW w:w="0" w:type="auto"/>
            <w:vAlign w:val="center"/>
            <w:hideMark/>
          </w:tcPr>
          <w:p w14:paraId="2F698071" w14:textId="77777777" w:rsidR="00E3254B" w:rsidRPr="00E3254B" w:rsidRDefault="00E3254B" w:rsidP="00E3254B">
            <w:r w:rsidRPr="00E3254B">
              <w:t>Moderate</w:t>
            </w:r>
          </w:p>
        </w:tc>
      </w:tr>
      <w:tr w:rsidR="00E3254B" w:rsidRPr="00E3254B" w14:paraId="7D4F37DE" w14:textId="77777777">
        <w:trPr>
          <w:tblCellSpacing w:w="15" w:type="dxa"/>
        </w:trPr>
        <w:tc>
          <w:tcPr>
            <w:tcW w:w="0" w:type="auto"/>
            <w:vAlign w:val="center"/>
            <w:hideMark/>
          </w:tcPr>
          <w:p w14:paraId="7B5A0347" w14:textId="77777777" w:rsidR="00E3254B" w:rsidRPr="00E3254B" w:rsidRDefault="00E3254B" w:rsidP="00E3254B">
            <w:r w:rsidRPr="00E3254B">
              <w:t>Projection year</w:t>
            </w:r>
          </w:p>
        </w:tc>
        <w:tc>
          <w:tcPr>
            <w:tcW w:w="0" w:type="auto"/>
            <w:vAlign w:val="center"/>
            <w:hideMark/>
          </w:tcPr>
          <w:p w14:paraId="473CA9E9" w14:textId="77777777" w:rsidR="00E3254B" w:rsidRPr="00E3254B" w:rsidRDefault="00E3254B" w:rsidP="00E3254B">
            <w:r w:rsidRPr="00E3254B">
              <w:t>2027</w:t>
            </w:r>
          </w:p>
        </w:tc>
      </w:tr>
      <w:tr w:rsidR="00E3254B" w:rsidRPr="00E3254B" w14:paraId="1B97D1B2" w14:textId="77777777">
        <w:trPr>
          <w:tblCellSpacing w:w="15" w:type="dxa"/>
        </w:trPr>
        <w:tc>
          <w:tcPr>
            <w:tcW w:w="0" w:type="auto"/>
            <w:vAlign w:val="center"/>
            <w:hideMark/>
          </w:tcPr>
          <w:p w14:paraId="631F32E3" w14:textId="77777777" w:rsidR="00E3254B" w:rsidRPr="00E3254B" w:rsidRDefault="00E3254B" w:rsidP="00E3254B">
            <w:r w:rsidRPr="00E3254B">
              <w:t>Cost recovery period</w:t>
            </w:r>
          </w:p>
        </w:tc>
        <w:tc>
          <w:tcPr>
            <w:tcW w:w="0" w:type="auto"/>
            <w:vAlign w:val="center"/>
            <w:hideMark/>
          </w:tcPr>
          <w:p w14:paraId="3EF01664" w14:textId="77777777" w:rsidR="00E3254B" w:rsidRPr="00E3254B" w:rsidRDefault="00E3254B" w:rsidP="00E3254B">
            <w:r w:rsidRPr="00E3254B">
              <w:t>30 years</w:t>
            </w:r>
          </w:p>
        </w:tc>
      </w:tr>
      <w:tr w:rsidR="00E3254B" w:rsidRPr="00E3254B" w14:paraId="7480A1BF" w14:textId="77777777">
        <w:trPr>
          <w:tblCellSpacing w:w="15" w:type="dxa"/>
        </w:trPr>
        <w:tc>
          <w:tcPr>
            <w:tcW w:w="0" w:type="auto"/>
            <w:vAlign w:val="center"/>
            <w:hideMark/>
          </w:tcPr>
          <w:p w14:paraId="2A546B90" w14:textId="77777777" w:rsidR="00E3254B" w:rsidRPr="00E3254B" w:rsidRDefault="00E3254B" w:rsidP="00E3254B">
            <w:r w:rsidRPr="00E3254B">
              <w:t>Tax-credit case</w:t>
            </w:r>
          </w:p>
        </w:tc>
        <w:tc>
          <w:tcPr>
            <w:tcW w:w="0" w:type="auto"/>
            <w:vAlign w:val="center"/>
            <w:hideMark/>
          </w:tcPr>
          <w:p w14:paraId="03AF3B3F" w14:textId="77777777" w:rsidR="00E3254B" w:rsidRPr="00E3254B" w:rsidRDefault="00E3254B" w:rsidP="00E3254B">
            <w:r w:rsidRPr="00E3254B">
              <w:t>PTC</w:t>
            </w:r>
          </w:p>
        </w:tc>
      </w:tr>
      <w:tr w:rsidR="00E3254B" w:rsidRPr="00E3254B" w14:paraId="5AB9AB16" w14:textId="77777777">
        <w:trPr>
          <w:tblCellSpacing w:w="15" w:type="dxa"/>
        </w:trPr>
        <w:tc>
          <w:tcPr>
            <w:tcW w:w="0" w:type="auto"/>
            <w:vAlign w:val="center"/>
            <w:hideMark/>
          </w:tcPr>
          <w:p w14:paraId="05CA0FA1" w14:textId="77777777" w:rsidR="00E3254B" w:rsidRPr="00E3254B" w:rsidRDefault="00E3254B" w:rsidP="00E3254B">
            <w:r w:rsidRPr="00E3254B">
              <w:t>Solar technology</w:t>
            </w:r>
          </w:p>
        </w:tc>
        <w:tc>
          <w:tcPr>
            <w:tcW w:w="0" w:type="auto"/>
            <w:vAlign w:val="center"/>
            <w:hideMark/>
          </w:tcPr>
          <w:p w14:paraId="33C6550D" w14:textId="77777777" w:rsidR="00E3254B" w:rsidRPr="00E3254B" w:rsidRDefault="00E3254B" w:rsidP="00E3254B">
            <w:r w:rsidRPr="00E3254B">
              <w:t>Utility PV, Class 4</w:t>
            </w:r>
          </w:p>
        </w:tc>
      </w:tr>
      <w:tr w:rsidR="00E3254B" w:rsidRPr="00E3254B" w14:paraId="0C3FC8BA" w14:textId="77777777">
        <w:trPr>
          <w:tblCellSpacing w:w="15" w:type="dxa"/>
        </w:trPr>
        <w:tc>
          <w:tcPr>
            <w:tcW w:w="0" w:type="auto"/>
            <w:vAlign w:val="center"/>
            <w:hideMark/>
          </w:tcPr>
          <w:p w14:paraId="1FE56341" w14:textId="77777777" w:rsidR="00E3254B" w:rsidRPr="00E3254B" w:rsidRDefault="00E3254B" w:rsidP="00E3254B">
            <w:r w:rsidRPr="00E3254B">
              <w:t>Wind technology</w:t>
            </w:r>
          </w:p>
        </w:tc>
        <w:tc>
          <w:tcPr>
            <w:tcW w:w="0" w:type="auto"/>
            <w:vAlign w:val="center"/>
            <w:hideMark/>
          </w:tcPr>
          <w:p w14:paraId="3E1D7C8B" w14:textId="77777777" w:rsidR="00E3254B" w:rsidRPr="00E3254B" w:rsidRDefault="00E3254B" w:rsidP="00E3254B">
            <w:r w:rsidRPr="00E3254B">
              <w:t>Land-Based Wind, Class 4</w:t>
            </w:r>
          </w:p>
        </w:tc>
      </w:tr>
    </w:tbl>
    <w:p w14:paraId="06042E16" w14:textId="77777777" w:rsidR="00E3254B" w:rsidRPr="00E3254B" w:rsidRDefault="00E3254B" w:rsidP="00E3254B">
      <w:r w:rsidRPr="00E3254B">
        <w:t>The base-case filters were applied to the full dataset before the two technologies were selected. The resulting base-case dataset contained 198 records.</w:t>
      </w:r>
    </w:p>
    <w:p w14:paraId="6968C367" w14:textId="77777777" w:rsidR="00E3254B" w:rsidRPr="00E3254B" w:rsidRDefault="00E3254B" w:rsidP="00E3254B">
      <w:r w:rsidRPr="00E3254B">
        <w:t>The technology filter then retained Utility PV Class 4 and Land-Based Wind Class 4, producing 16 records before the final metric selection.</w:t>
      </w:r>
    </w:p>
    <w:p w14:paraId="731D3635" w14:textId="77777777" w:rsidR="00E3254B" w:rsidRPr="00E3254B" w:rsidRDefault="00E3254B" w:rsidP="00E3254B">
      <w:pPr>
        <w:rPr>
          <w:b/>
          <w:bCs/>
        </w:rPr>
      </w:pPr>
      <w:r w:rsidRPr="00E3254B">
        <w:rPr>
          <w:b/>
          <w:bCs/>
        </w:rPr>
        <w:t>4.3 Metrics Selected</w:t>
      </w:r>
    </w:p>
    <w:p w14:paraId="42B58FC2" w14:textId="77777777" w:rsidR="00E3254B" w:rsidRPr="00E3254B" w:rsidRDefault="00E3254B" w:rsidP="00E3254B">
      <w:r w:rsidRPr="00E3254B">
        <w:t>Four metrics were selected from the dataset.</w:t>
      </w:r>
    </w:p>
    <w:p w14:paraId="4A58CCBC" w14:textId="77777777" w:rsidR="00E3254B" w:rsidRPr="00E3254B" w:rsidRDefault="00E3254B" w:rsidP="00E3254B">
      <w:r w:rsidRPr="00E3254B">
        <w:rPr>
          <w:b/>
          <w:bCs/>
        </w:rPr>
        <w:t>Capital expenditure (CAPEX):</w:t>
      </w:r>
      <w:r w:rsidRPr="00E3254B">
        <w:t xml:space="preserve"> The reported upfront capital cost per kilowatt of installed capacity, expressed in dollars per kW.</w:t>
      </w:r>
    </w:p>
    <w:p w14:paraId="4BB3182C" w14:textId="77777777" w:rsidR="00E3254B" w:rsidRPr="00E3254B" w:rsidRDefault="00E3254B" w:rsidP="00E3254B">
      <w:r w:rsidRPr="00E3254B">
        <w:rPr>
          <w:b/>
          <w:bCs/>
        </w:rPr>
        <w:lastRenderedPageBreak/>
        <w:t>Fixed operating and maintenance cost (Fixed O&amp;M):</w:t>
      </w:r>
      <w:r w:rsidRPr="00E3254B">
        <w:t xml:space="preserve"> The reported annual fixed operating and maintenance cost per kW of installed capacity, expressed in dollars per kW-year.</w:t>
      </w:r>
    </w:p>
    <w:p w14:paraId="30B31B97" w14:textId="77777777" w:rsidR="00E3254B" w:rsidRPr="00E3254B" w:rsidRDefault="00E3254B" w:rsidP="00E3254B">
      <w:r w:rsidRPr="00E3254B">
        <w:rPr>
          <w:b/>
          <w:bCs/>
        </w:rPr>
        <w:t>Capacity factor (CF):</w:t>
      </w:r>
      <w:r w:rsidRPr="00E3254B">
        <w:t xml:space="preserve"> The ratio of actual or expected electricity generation over a period to the generation that would occur if the plant operated at its rated capacity continuously throughout that period.</w:t>
      </w:r>
    </w:p>
    <w:p w14:paraId="62362DE5" w14:textId="77777777" w:rsidR="00E3254B" w:rsidRPr="00E3254B" w:rsidRDefault="00E3254B" w:rsidP="00E3254B">
      <w:r w:rsidRPr="00E3254B">
        <w:rPr>
          <w:b/>
          <w:bCs/>
        </w:rPr>
        <w:t>Levelized cost of electricity (LCOE):</w:t>
      </w:r>
      <w:r w:rsidRPr="00E3254B">
        <w:t xml:space="preserve"> The modeled cost of generating electricity over the relevant project assumptions, expressed in dollars per megawatt-hour.</w:t>
      </w:r>
    </w:p>
    <w:p w14:paraId="538B9351" w14:textId="77777777" w:rsidR="00E3254B" w:rsidRPr="00E3254B" w:rsidRDefault="00E3254B" w:rsidP="00E3254B">
      <w:r w:rsidRPr="00E3254B">
        <w:t>The selected records were reshaped into a technology-level comparison table using a pivot operation in Pandas.</w:t>
      </w:r>
    </w:p>
    <w:p w14:paraId="2C9F5E32" w14:textId="77777777" w:rsidR="00E3254B" w:rsidRPr="00E3254B" w:rsidRDefault="00E3254B" w:rsidP="00E3254B">
      <w:pPr>
        <w:rPr>
          <w:b/>
          <w:bCs/>
        </w:rPr>
      </w:pPr>
      <w:r w:rsidRPr="00E3254B">
        <w:rPr>
          <w:b/>
          <w:bCs/>
        </w:rPr>
        <w:t>4.4 Sensitivity Analysis</w:t>
      </w:r>
    </w:p>
    <w:p w14:paraId="78ED80D9" w14:textId="77777777" w:rsidR="00E3254B" w:rsidRPr="00E3254B" w:rsidRDefault="00E3254B" w:rsidP="00E3254B">
      <w:r w:rsidRPr="00E3254B">
        <w:t>The second analysis examines how the reported LCOE changes when the cost recovery period changes from 30 years to 20 years.</w:t>
      </w:r>
    </w:p>
    <w:p w14:paraId="4A74F91F" w14:textId="77777777" w:rsidR="00E3254B" w:rsidRPr="00E3254B" w:rsidRDefault="00E3254B" w:rsidP="00E3254B">
      <w:r w:rsidRPr="00E3254B">
        <w:t>The following assumptions remain fixed:</w:t>
      </w:r>
    </w:p>
    <w:p w14:paraId="0485F082" w14:textId="77777777" w:rsidR="00E3254B" w:rsidRPr="00E3254B" w:rsidRDefault="00E3254B" w:rsidP="00E3254B">
      <w:pPr>
        <w:numPr>
          <w:ilvl w:val="0"/>
          <w:numId w:val="4"/>
        </w:numPr>
      </w:pPr>
      <w:r w:rsidRPr="00E3254B">
        <w:t>Market case.</w:t>
      </w:r>
    </w:p>
    <w:p w14:paraId="21686154" w14:textId="77777777" w:rsidR="00E3254B" w:rsidRPr="00E3254B" w:rsidRDefault="00E3254B" w:rsidP="00E3254B">
      <w:pPr>
        <w:numPr>
          <w:ilvl w:val="0"/>
          <w:numId w:val="4"/>
        </w:numPr>
      </w:pPr>
      <w:r w:rsidRPr="00E3254B">
        <w:t>Moderate scenario.</w:t>
      </w:r>
    </w:p>
    <w:p w14:paraId="3C6A8C89" w14:textId="77777777" w:rsidR="00E3254B" w:rsidRPr="00E3254B" w:rsidRDefault="00E3254B" w:rsidP="00E3254B">
      <w:pPr>
        <w:numPr>
          <w:ilvl w:val="0"/>
          <w:numId w:val="4"/>
        </w:numPr>
      </w:pPr>
      <w:r w:rsidRPr="00E3254B">
        <w:t>2027 projection year.</w:t>
      </w:r>
    </w:p>
    <w:p w14:paraId="5E9E4660" w14:textId="77777777" w:rsidR="00E3254B" w:rsidRPr="00E3254B" w:rsidRDefault="00E3254B" w:rsidP="00E3254B">
      <w:pPr>
        <w:numPr>
          <w:ilvl w:val="0"/>
          <w:numId w:val="4"/>
        </w:numPr>
      </w:pPr>
      <w:r w:rsidRPr="00E3254B">
        <w:t>PTC tax-credit case.</w:t>
      </w:r>
    </w:p>
    <w:p w14:paraId="78FEAC36" w14:textId="77777777" w:rsidR="00E3254B" w:rsidRPr="00E3254B" w:rsidRDefault="00E3254B" w:rsidP="00E3254B">
      <w:pPr>
        <w:numPr>
          <w:ilvl w:val="0"/>
          <w:numId w:val="4"/>
        </w:numPr>
      </w:pPr>
      <w:r w:rsidRPr="00E3254B">
        <w:t>Utility PV Class 4 and Land-Based Wind Class 4.</w:t>
      </w:r>
    </w:p>
    <w:p w14:paraId="5D217D90" w14:textId="77777777" w:rsidR="00E3254B" w:rsidRPr="00E3254B" w:rsidRDefault="00E3254B" w:rsidP="00E3254B">
      <w:r w:rsidRPr="00E3254B">
        <w:t>Only the crpyears value changes between 20 and 30 years.</w:t>
      </w:r>
    </w:p>
    <w:p w14:paraId="68DAF785" w14:textId="77777777" w:rsidR="00E3254B" w:rsidRPr="00E3254B" w:rsidRDefault="00E3254B" w:rsidP="00E3254B">
      <w:r w:rsidRPr="00E3254B">
        <w:t>The absolute change is calculated as:</w:t>
      </w:r>
    </w:p>
    <w:p w14:paraId="33568CF9" w14:textId="77777777" w:rsidR="00E3254B" w:rsidRPr="00E3254B" w:rsidRDefault="00E3254B" w:rsidP="00E3254B">
      <w:r w:rsidRPr="00E3254B">
        <w:rPr>
          <w:b/>
          <w:bCs/>
        </w:rPr>
        <w:t>Absolute change = 20-year LCOE − 30-year LCOE</w:t>
      </w:r>
    </w:p>
    <w:p w14:paraId="1A6AF644" w14:textId="77777777" w:rsidR="00E3254B" w:rsidRPr="00E3254B" w:rsidRDefault="00E3254B" w:rsidP="00E3254B">
      <w:r w:rsidRPr="00E3254B">
        <w:t>The percentage change is calculated as:</w:t>
      </w:r>
    </w:p>
    <w:p w14:paraId="14763EF6" w14:textId="77777777" w:rsidR="00E3254B" w:rsidRPr="00E3254B" w:rsidRDefault="00E3254B" w:rsidP="00E3254B">
      <w:r w:rsidRPr="00E3254B">
        <w:rPr>
          <w:b/>
          <w:bCs/>
        </w:rPr>
        <w:t>Percentage change = (Absolute change ÷ 30-year LCOE) × 100</w:t>
      </w:r>
    </w:p>
    <w:p w14:paraId="175A15F2" w14:textId="77777777" w:rsidR="00E3254B" w:rsidRPr="00E3254B" w:rsidRDefault="00E3254B" w:rsidP="00E3254B">
      <w:r w:rsidRPr="00E3254B">
        <w:t>This comparison isolates the difference associated with the selected cost recovery assumption in the reported ATB results.</w:t>
      </w:r>
    </w:p>
    <w:p w14:paraId="7608AFB1" w14:textId="77777777" w:rsidR="00E3254B" w:rsidRPr="00E3254B" w:rsidRDefault="00E3254B" w:rsidP="00E3254B">
      <w:pPr>
        <w:rPr>
          <w:b/>
          <w:bCs/>
        </w:rPr>
      </w:pPr>
      <w:r w:rsidRPr="00E3254B">
        <w:rPr>
          <w:b/>
          <w:bCs/>
        </w:rPr>
        <w:t>5. Base-Case Results</w:t>
      </w:r>
    </w:p>
    <w:p w14:paraId="4648FDC8" w14:textId="77777777" w:rsidR="00E3254B" w:rsidRPr="00E3254B" w:rsidRDefault="00E3254B" w:rsidP="00E3254B">
      <w:pPr>
        <w:rPr>
          <w:b/>
          <w:bCs/>
        </w:rPr>
      </w:pPr>
      <w:r w:rsidRPr="00E3254B">
        <w:rPr>
          <w:b/>
          <w:bCs/>
        </w:rPr>
        <w:t>5.1 Technology Comparison</w:t>
      </w:r>
    </w:p>
    <w:p w14:paraId="793CAB75" w14:textId="77777777" w:rsidR="00E3254B" w:rsidRPr="00E3254B" w:rsidRDefault="00E3254B" w:rsidP="00E3254B">
      <w:r w:rsidRPr="00E3254B">
        <w:t>The selected 2027 base-case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976"/>
        <w:gridCol w:w="2395"/>
      </w:tblGrid>
      <w:tr w:rsidR="00E3254B" w:rsidRPr="00E3254B" w14:paraId="1745716B" w14:textId="77777777">
        <w:trPr>
          <w:tblCellSpacing w:w="15" w:type="dxa"/>
        </w:trPr>
        <w:tc>
          <w:tcPr>
            <w:tcW w:w="0" w:type="auto"/>
            <w:vAlign w:val="center"/>
            <w:hideMark/>
          </w:tcPr>
          <w:p w14:paraId="278AA47C" w14:textId="77777777" w:rsidR="00E3254B" w:rsidRPr="00E3254B" w:rsidRDefault="00E3254B" w:rsidP="00E3254B">
            <w:pPr>
              <w:rPr>
                <w:b/>
                <w:bCs/>
              </w:rPr>
            </w:pPr>
            <w:r w:rsidRPr="00E3254B">
              <w:rPr>
                <w:b/>
                <w:bCs/>
              </w:rPr>
              <w:lastRenderedPageBreak/>
              <w:t>Metric</w:t>
            </w:r>
          </w:p>
        </w:tc>
        <w:tc>
          <w:tcPr>
            <w:tcW w:w="0" w:type="auto"/>
            <w:vAlign w:val="center"/>
            <w:hideMark/>
          </w:tcPr>
          <w:p w14:paraId="0CD501FD" w14:textId="77777777" w:rsidR="00E3254B" w:rsidRPr="00E3254B" w:rsidRDefault="00E3254B" w:rsidP="00E3254B">
            <w:pPr>
              <w:rPr>
                <w:b/>
                <w:bCs/>
              </w:rPr>
            </w:pPr>
            <w:r w:rsidRPr="00E3254B">
              <w:rPr>
                <w:b/>
                <w:bCs/>
              </w:rPr>
              <w:t>Land-Based Wind</w:t>
            </w:r>
          </w:p>
        </w:tc>
        <w:tc>
          <w:tcPr>
            <w:tcW w:w="0" w:type="auto"/>
            <w:vAlign w:val="center"/>
            <w:hideMark/>
          </w:tcPr>
          <w:p w14:paraId="62BA11B0" w14:textId="77777777" w:rsidR="00E3254B" w:rsidRPr="00E3254B" w:rsidRDefault="00E3254B" w:rsidP="00E3254B">
            <w:pPr>
              <w:rPr>
                <w:b/>
                <w:bCs/>
              </w:rPr>
            </w:pPr>
            <w:r w:rsidRPr="00E3254B">
              <w:rPr>
                <w:b/>
                <w:bCs/>
              </w:rPr>
              <w:t>Utility-Scale Solar PV</w:t>
            </w:r>
          </w:p>
        </w:tc>
      </w:tr>
      <w:tr w:rsidR="00E3254B" w:rsidRPr="00E3254B" w14:paraId="1DEEBE90" w14:textId="77777777">
        <w:trPr>
          <w:tblCellSpacing w:w="15" w:type="dxa"/>
        </w:trPr>
        <w:tc>
          <w:tcPr>
            <w:tcW w:w="0" w:type="auto"/>
            <w:vAlign w:val="center"/>
            <w:hideMark/>
          </w:tcPr>
          <w:p w14:paraId="5E1CDF99" w14:textId="77777777" w:rsidR="00E3254B" w:rsidRPr="00E3254B" w:rsidRDefault="00E3254B" w:rsidP="00E3254B">
            <w:r w:rsidRPr="00E3254B">
              <w:t>CAPEX ($/kW)</w:t>
            </w:r>
          </w:p>
        </w:tc>
        <w:tc>
          <w:tcPr>
            <w:tcW w:w="0" w:type="auto"/>
            <w:vAlign w:val="center"/>
            <w:hideMark/>
          </w:tcPr>
          <w:p w14:paraId="14BAE699" w14:textId="77777777" w:rsidR="00E3254B" w:rsidRPr="00E3254B" w:rsidRDefault="00E3254B" w:rsidP="00E3254B">
            <w:r w:rsidRPr="00E3254B">
              <w:t>$1,504.64</w:t>
            </w:r>
          </w:p>
        </w:tc>
        <w:tc>
          <w:tcPr>
            <w:tcW w:w="0" w:type="auto"/>
            <w:vAlign w:val="center"/>
            <w:hideMark/>
          </w:tcPr>
          <w:p w14:paraId="612D3247" w14:textId="77777777" w:rsidR="00E3254B" w:rsidRPr="00E3254B" w:rsidRDefault="00E3254B" w:rsidP="00E3254B">
            <w:r w:rsidRPr="00E3254B">
              <w:t>$1,372.38</w:t>
            </w:r>
          </w:p>
        </w:tc>
      </w:tr>
      <w:tr w:rsidR="00E3254B" w:rsidRPr="00E3254B" w14:paraId="7721A6BC" w14:textId="77777777">
        <w:trPr>
          <w:tblCellSpacing w:w="15" w:type="dxa"/>
        </w:trPr>
        <w:tc>
          <w:tcPr>
            <w:tcW w:w="0" w:type="auto"/>
            <w:vAlign w:val="center"/>
            <w:hideMark/>
          </w:tcPr>
          <w:p w14:paraId="6B115BF3" w14:textId="77777777" w:rsidR="00E3254B" w:rsidRPr="00E3254B" w:rsidRDefault="00E3254B" w:rsidP="00E3254B">
            <w:r w:rsidRPr="00E3254B">
              <w:t>Fixed O&amp;M ($/kW-year)</w:t>
            </w:r>
          </w:p>
        </w:tc>
        <w:tc>
          <w:tcPr>
            <w:tcW w:w="0" w:type="auto"/>
            <w:vAlign w:val="center"/>
            <w:hideMark/>
          </w:tcPr>
          <w:p w14:paraId="1401579D" w14:textId="77777777" w:rsidR="00E3254B" w:rsidRPr="00E3254B" w:rsidRDefault="00E3254B" w:rsidP="00E3254B">
            <w:r w:rsidRPr="00E3254B">
              <w:t>$30.46</w:t>
            </w:r>
          </w:p>
        </w:tc>
        <w:tc>
          <w:tcPr>
            <w:tcW w:w="0" w:type="auto"/>
            <w:vAlign w:val="center"/>
            <w:hideMark/>
          </w:tcPr>
          <w:p w14:paraId="128AEFE4" w14:textId="77777777" w:rsidR="00E3254B" w:rsidRPr="00E3254B" w:rsidRDefault="00E3254B" w:rsidP="00E3254B">
            <w:r w:rsidRPr="00E3254B">
              <w:t>$19.79</w:t>
            </w:r>
          </w:p>
        </w:tc>
      </w:tr>
      <w:tr w:rsidR="00E3254B" w:rsidRPr="00E3254B" w14:paraId="599C3C3D" w14:textId="77777777">
        <w:trPr>
          <w:tblCellSpacing w:w="15" w:type="dxa"/>
        </w:trPr>
        <w:tc>
          <w:tcPr>
            <w:tcW w:w="0" w:type="auto"/>
            <w:vAlign w:val="center"/>
            <w:hideMark/>
          </w:tcPr>
          <w:p w14:paraId="6106813E" w14:textId="77777777" w:rsidR="00E3254B" w:rsidRPr="00E3254B" w:rsidRDefault="00E3254B" w:rsidP="00E3254B">
            <w:r w:rsidRPr="00E3254B">
              <w:t>Capacity factor</w:t>
            </w:r>
          </w:p>
        </w:tc>
        <w:tc>
          <w:tcPr>
            <w:tcW w:w="0" w:type="auto"/>
            <w:vAlign w:val="center"/>
            <w:hideMark/>
          </w:tcPr>
          <w:p w14:paraId="5199069B" w14:textId="77777777" w:rsidR="00E3254B" w:rsidRPr="00E3254B" w:rsidRDefault="00E3254B" w:rsidP="00E3254B">
            <w:r w:rsidRPr="00E3254B">
              <w:t>46.52%</w:t>
            </w:r>
          </w:p>
        </w:tc>
        <w:tc>
          <w:tcPr>
            <w:tcW w:w="0" w:type="auto"/>
            <w:vAlign w:val="center"/>
            <w:hideMark/>
          </w:tcPr>
          <w:p w14:paraId="769F5567" w14:textId="77777777" w:rsidR="00E3254B" w:rsidRPr="00E3254B" w:rsidRDefault="00E3254B" w:rsidP="00E3254B">
            <w:r w:rsidRPr="00E3254B">
              <w:t>28.49%</w:t>
            </w:r>
          </w:p>
        </w:tc>
      </w:tr>
      <w:tr w:rsidR="00E3254B" w:rsidRPr="00E3254B" w14:paraId="71299557" w14:textId="77777777">
        <w:trPr>
          <w:tblCellSpacing w:w="15" w:type="dxa"/>
        </w:trPr>
        <w:tc>
          <w:tcPr>
            <w:tcW w:w="0" w:type="auto"/>
            <w:vAlign w:val="center"/>
            <w:hideMark/>
          </w:tcPr>
          <w:p w14:paraId="59BFD8AF" w14:textId="77777777" w:rsidR="00E3254B" w:rsidRPr="00E3254B" w:rsidRDefault="00E3254B" w:rsidP="00E3254B">
            <w:r w:rsidRPr="00E3254B">
              <w:t>LCOE ($/MWh)</w:t>
            </w:r>
          </w:p>
        </w:tc>
        <w:tc>
          <w:tcPr>
            <w:tcW w:w="0" w:type="auto"/>
            <w:vAlign w:val="center"/>
            <w:hideMark/>
          </w:tcPr>
          <w:p w14:paraId="2FE89A53" w14:textId="77777777" w:rsidR="00E3254B" w:rsidRPr="00E3254B" w:rsidRDefault="00E3254B" w:rsidP="00E3254B">
            <w:r w:rsidRPr="00E3254B">
              <w:t>$14.53</w:t>
            </w:r>
          </w:p>
        </w:tc>
        <w:tc>
          <w:tcPr>
            <w:tcW w:w="0" w:type="auto"/>
            <w:vAlign w:val="center"/>
            <w:hideMark/>
          </w:tcPr>
          <w:p w14:paraId="09753973" w14:textId="77777777" w:rsidR="00E3254B" w:rsidRPr="00E3254B" w:rsidRDefault="00E3254B" w:rsidP="00E3254B">
            <w:r w:rsidRPr="00E3254B">
              <w:t>$24.94</w:t>
            </w:r>
          </w:p>
        </w:tc>
      </w:tr>
    </w:tbl>
    <w:p w14:paraId="63531D05" w14:textId="77777777" w:rsidR="00E3254B" w:rsidRPr="00E3254B" w:rsidRDefault="00E3254B" w:rsidP="00E3254B">
      <w:r w:rsidRPr="00E3254B">
        <w:rPr>
          <w:i/>
          <w:iCs/>
        </w:rPr>
        <w:t>Source: Selected records from the NREL ATB 2024 dataset used in the project notebook.</w:t>
      </w:r>
    </w:p>
    <w:p w14:paraId="068D30BF" w14:textId="77777777" w:rsidR="00E3254B" w:rsidRPr="00E3254B" w:rsidRDefault="00E3254B" w:rsidP="00E3254B">
      <w:pPr>
        <w:rPr>
          <w:b/>
          <w:bCs/>
        </w:rPr>
      </w:pPr>
      <w:r w:rsidRPr="00E3254B">
        <w:rPr>
          <w:b/>
          <w:bCs/>
        </w:rPr>
        <w:t>5.2 LCOE Comparison</w:t>
      </w:r>
    </w:p>
    <w:p w14:paraId="7193C063" w14:textId="77777777" w:rsidR="00E3254B" w:rsidRPr="00E3254B" w:rsidRDefault="00E3254B" w:rsidP="00E3254B">
      <w:r w:rsidRPr="00E3254B">
        <w:t>Land-based wind has a projected LCOE of $14.53/MWh, compared with $24.94/MWh for utility-scale solar PV.</w:t>
      </w:r>
    </w:p>
    <w:p w14:paraId="4C488E39" w14:textId="77777777" w:rsidR="00E3254B" w:rsidRPr="00E3254B" w:rsidRDefault="00E3254B" w:rsidP="00E3254B">
      <w:r w:rsidRPr="00E3254B">
        <w:t>The absolute difference is:</w:t>
      </w:r>
    </w:p>
    <w:p w14:paraId="16850F14" w14:textId="77777777" w:rsidR="00E3254B" w:rsidRPr="00E3254B" w:rsidRDefault="00E3254B" w:rsidP="00E3254B">
      <w:r w:rsidRPr="00E3254B">
        <w:t xml:space="preserve">$24.94 − $14.53 = </w:t>
      </w:r>
      <w:r w:rsidRPr="00E3254B">
        <w:rPr>
          <w:b/>
          <w:bCs/>
        </w:rPr>
        <w:t>$10.41/MWh</w:t>
      </w:r>
    </w:p>
    <w:p w14:paraId="09A03B19" w14:textId="77777777" w:rsidR="00E3254B" w:rsidRPr="00E3254B" w:rsidRDefault="00E3254B" w:rsidP="00E3254B">
      <w:r w:rsidRPr="00E3254B">
        <w:t>Wind's LCOE relative to solar is approximately 58.3%. Equivalently, wind's reported LCOE is approximately 41.7% lower than solar's.</w:t>
      </w:r>
    </w:p>
    <w:p w14:paraId="6307F6D6" w14:textId="77777777" w:rsidR="00E3254B" w:rsidRPr="00E3254B" w:rsidRDefault="00E3254B" w:rsidP="00E3254B">
      <w:r w:rsidRPr="00E3254B">
        <w:t>Conversely, solar's reported LCOE is approximately 71.6% higher than wind's. The two percentages differ because they use different denominators.</w:t>
      </w:r>
    </w:p>
    <w:p w14:paraId="439557E5" w14:textId="77777777" w:rsidR="00E3254B" w:rsidRPr="00E3254B" w:rsidRDefault="00E3254B" w:rsidP="00E3254B">
      <w:r w:rsidRPr="00E3254B">
        <w:t>These results indicate that, under the selected assumptions, land-based wind has the lower estimated generation cost.</w:t>
      </w:r>
    </w:p>
    <w:p w14:paraId="5359B219" w14:textId="77777777" w:rsidR="00E3254B" w:rsidRPr="00E3254B" w:rsidRDefault="00E3254B" w:rsidP="00E3254B">
      <w:pPr>
        <w:rPr>
          <w:b/>
          <w:bCs/>
        </w:rPr>
      </w:pPr>
      <w:r w:rsidRPr="00E3254B">
        <w:rPr>
          <w:b/>
          <w:bCs/>
        </w:rPr>
        <w:t>5.3 Interpretation of Capital Cost</w:t>
      </w:r>
    </w:p>
    <w:p w14:paraId="331254FB" w14:textId="77777777" w:rsidR="00E3254B" w:rsidRPr="00E3254B" w:rsidRDefault="00E3254B" w:rsidP="00E3254B">
      <w:r w:rsidRPr="00E3254B">
        <w:t>Land-based wind has a higher reported capital cost than utility-scale solar PV:</w:t>
      </w:r>
    </w:p>
    <w:p w14:paraId="6152EA3D" w14:textId="77777777" w:rsidR="00E3254B" w:rsidRPr="00E3254B" w:rsidRDefault="00E3254B" w:rsidP="00E3254B">
      <w:pPr>
        <w:numPr>
          <w:ilvl w:val="0"/>
          <w:numId w:val="5"/>
        </w:numPr>
      </w:pPr>
      <w:r w:rsidRPr="00E3254B">
        <w:t>Wind: $1,504.64/kW.</w:t>
      </w:r>
    </w:p>
    <w:p w14:paraId="44F103D2" w14:textId="77777777" w:rsidR="00E3254B" w:rsidRPr="00E3254B" w:rsidRDefault="00E3254B" w:rsidP="00E3254B">
      <w:pPr>
        <w:numPr>
          <w:ilvl w:val="0"/>
          <w:numId w:val="5"/>
        </w:numPr>
      </w:pPr>
      <w:r w:rsidRPr="00E3254B">
        <w:t>Solar: $1,372.38/kW.</w:t>
      </w:r>
    </w:p>
    <w:p w14:paraId="6D2C6B13" w14:textId="77777777" w:rsidR="00E3254B" w:rsidRPr="00E3254B" w:rsidRDefault="00E3254B" w:rsidP="00E3254B">
      <w:r w:rsidRPr="00E3254B">
        <w:t>The difference is $132.26/kW, or approximately 9.6% of solar's reported capital cost.</w:t>
      </w:r>
    </w:p>
    <w:p w14:paraId="5C14A54C" w14:textId="77777777" w:rsidR="00E3254B" w:rsidRPr="00E3254B" w:rsidRDefault="00E3254B" w:rsidP="00E3254B">
      <w:r w:rsidRPr="00E3254B">
        <w:t>Despite this higher initial capital cost, wind has a lower LCOE in the selected comparison. This highlights the importance of considering the relationship between capital expenditure, expected electricity production, and other modeled costs.</w:t>
      </w:r>
    </w:p>
    <w:p w14:paraId="1F1635F2" w14:textId="77777777" w:rsidR="00E3254B" w:rsidRPr="00E3254B" w:rsidRDefault="00E3254B" w:rsidP="00E3254B">
      <w:r w:rsidRPr="00E3254B">
        <w:t>Capital cost alone is therefore insufficient to rank the technologies by estimated cost of electricity generation.</w:t>
      </w:r>
    </w:p>
    <w:p w14:paraId="32203685" w14:textId="77777777" w:rsidR="00E3254B" w:rsidRPr="00E3254B" w:rsidRDefault="00E3254B" w:rsidP="00E3254B">
      <w:pPr>
        <w:rPr>
          <w:b/>
          <w:bCs/>
        </w:rPr>
      </w:pPr>
      <w:r w:rsidRPr="00E3254B">
        <w:rPr>
          <w:b/>
          <w:bCs/>
        </w:rPr>
        <w:lastRenderedPageBreak/>
        <w:t>5.4 Interpretation of Capacity Factor</w:t>
      </w:r>
    </w:p>
    <w:p w14:paraId="18D8493C" w14:textId="77777777" w:rsidR="00E3254B" w:rsidRPr="00E3254B" w:rsidRDefault="00E3254B" w:rsidP="00E3254B">
      <w:r w:rsidRPr="00E3254B">
        <w:t>The reported capacity factors are:</w:t>
      </w:r>
    </w:p>
    <w:p w14:paraId="3C7E5020" w14:textId="77777777" w:rsidR="00E3254B" w:rsidRPr="00E3254B" w:rsidRDefault="00E3254B" w:rsidP="00E3254B">
      <w:pPr>
        <w:numPr>
          <w:ilvl w:val="0"/>
          <w:numId w:val="6"/>
        </w:numPr>
      </w:pPr>
      <w:r w:rsidRPr="00E3254B">
        <w:t>Wind: 46.52%.</w:t>
      </w:r>
    </w:p>
    <w:p w14:paraId="54D4A07C" w14:textId="77777777" w:rsidR="00E3254B" w:rsidRPr="00E3254B" w:rsidRDefault="00E3254B" w:rsidP="00E3254B">
      <w:pPr>
        <w:numPr>
          <w:ilvl w:val="0"/>
          <w:numId w:val="6"/>
        </w:numPr>
      </w:pPr>
      <w:r w:rsidRPr="00E3254B">
        <w:t>Solar: 28.49%.</w:t>
      </w:r>
    </w:p>
    <w:p w14:paraId="7C1D8C1C" w14:textId="77777777" w:rsidR="00E3254B" w:rsidRPr="00E3254B" w:rsidRDefault="00E3254B" w:rsidP="00E3254B">
      <w:r w:rsidRPr="00E3254B">
        <w:t>Wind's capacity factor is 18.03 percentage points higher than solar's in the selected dataset.</w:t>
      </w:r>
    </w:p>
    <w:p w14:paraId="149510ED" w14:textId="77777777" w:rsidR="00E3254B" w:rsidRPr="00E3254B" w:rsidRDefault="00E3254B" w:rsidP="00E3254B">
      <w:r w:rsidRPr="00E3254B">
        <w:t>A higher capacity factor means that a technology is expected to generate more electricity over time relative to its installed rated capacity. This can spread capital and fixed operating costs across a greater amount of electricity generation.</w:t>
      </w:r>
    </w:p>
    <w:p w14:paraId="35B7063A" w14:textId="77777777" w:rsidR="00E3254B" w:rsidRPr="00E3254B" w:rsidRDefault="00E3254B" w:rsidP="00E3254B">
      <w:r w:rsidRPr="00E3254B">
        <w:t>The capacity-factor difference is consistent with the lower reported LCOE for wind in this comparison. However, capacity factor alone does not determine LCOE, and it should not be treated as a complete explanation of the result.</w:t>
      </w:r>
    </w:p>
    <w:p w14:paraId="4976A667" w14:textId="77777777" w:rsidR="00E3254B" w:rsidRPr="00E3254B" w:rsidRDefault="00E3254B" w:rsidP="00E3254B">
      <w:pPr>
        <w:rPr>
          <w:b/>
          <w:bCs/>
        </w:rPr>
      </w:pPr>
      <w:r w:rsidRPr="00E3254B">
        <w:rPr>
          <w:b/>
          <w:bCs/>
        </w:rPr>
        <w:t>5.5 Interpretation of Fixed Operating Costs</w:t>
      </w:r>
    </w:p>
    <w:p w14:paraId="67DA9442" w14:textId="77777777" w:rsidR="00E3254B" w:rsidRPr="00E3254B" w:rsidRDefault="00E3254B" w:rsidP="00E3254B">
      <w:r w:rsidRPr="00E3254B">
        <w:t>The reported fixed O&amp;M costs are $30.46/kW-year for wind and $19.79/kW-year for solar.</w:t>
      </w:r>
    </w:p>
    <w:p w14:paraId="477695D2" w14:textId="77777777" w:rsidR="00E3254B" w:rsidRPr="00E3254B" w:rsidRDefault="00E3254B" w:rsidP="00E3254B">
      <w:r w:rsidRPr="00E3254B">
        <w:t>Wind's fixed O&amp;M cost is $10.67/kW-year higher. This indicates that the technology with the lower LCOE does not necessarily have the lower cost for every individual metric.</w:t>
      </w:r>
    </w:p>
    <w:p w14:paraId="2B5E7E12" w14:textId="77777777" w:rsidR="00E3254B" w:rsidRPr="00E3254B" w:rsidRDefault="00E3254B" w:rsidP="00E3254B">
      <w:r w:rsidRPr="00E3254B">
        <w:t>The overall LCOE comparison reflects the modeled economics of the technologies rather than the ranking of any single cost component.</w:t>
      </w:r>
    </w:p>
    <w:p w14:paraId="631737C7" w14:textId="77777777" w:rsidR="00E3254B" w:rsidRPr="00E3254B" w:rsidRDefault="00E3254B" w:rsidP="00E3254B">
      <w:pPr>
        <w:rPr>
          <w:b/>
          <w:bCs/>
        </w:rPr>
      </w:pPr>
      <w:r w:rsidRPr="00E3254B">
        <w:rPr>
          <w:b/>
          <w:bCs/>
        </w:rPr>
        <w:t>6. Sensitivity Analysis: Cost Recovery Period</w:t>
      </w:r>
    </w:p>
    <w:p w14:paraId="0CC3B2D3" w14:textId="77777777" w:rsidR="00E3254B" w:rsidRPr="00E3254B" w:rsidRDefault="00E3254B" w:rsidP="00E3254B">
      <w:pPr>
        <w:rPr>
          <w:b/>
          <w:bCs/>
        </w:rPr>
      </w:pPr>
      <w:r w:rsidRPr="00E3254B">
        <w:rPr>
          <w:b/>
          <w:bCs/>
        </w:rPr>
        <w:t>6.1 Purpose</w:t>
      </w:r>
    </w:p>
    <w:p w14:paraId="4AB000D9" w14:textId="77777777" w:rsidR="00E3254B" w:rsidRPr="00E3254B" w:rsidRDefault="00E3254B" w:rsidP="00E3254B">
      <w:r w:rsidRPr="00E3254B">
        <w:t>A cost recovery period is one of the assumptions that can affect the modeled economics of a generation project. A shorter recovery period can increase the annualized burden of recovering upfront capital costs, all else being equal.</w:t>
      </w:r>
    </w:p>
    <w:p w14:paraId="5D1D6783" w14:textId="77777777" w:rsidR="00E3254B" w:rsidRPr="00E3254B" w:rsidRDefault="00E3254B" w:rsidP="00E3254B">
      <w:r w:rsidRPr="00E3254B">
        <w:t>The sensitivity analysis compares the reported LCOE under 20-year and 30-year cost recovery periods.</w:t>
      </w:r>
    </w:p>
    <w:p w14:paraId="4C18EEE5" w14:textId="77777777" w:rsidR="00E3254B" w:rsidRPr="00E3254B" w:rsidRDefault="00E3254B" w:rsidP="00E3254B">
      <w:pPr>
        <w:rPr>
          <w:b/>
          <w:bCs/>
        </w:rPr>
      </w:pPr>
      <w:r w:rsidRPr="00E3254B">
        <w:rPr>
          <w:b/>
          <w:bCs/>
        </w:rPr>
        <w:t>6.2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03"/>
        <w:gridCol w:w="1503"/>
        <w:gridCol w:w="1964"/>
        <w:gridCol w:w="2216"/>
      </w:tblGrid>
      <w:tr w:rsidR="00E3254B" w:rsidRPr="00E3254B" w14:paraId="0F625ADA" w14:textId="77777777">
        <w:trPr>
          <w:tblCellSpacing w:w="15" w:type="dxa"/>
        </w:trPr>
        <w:tc>
          <w:tcPr>
            <w:tcW w:w="0" w:type="auto"/>
            <w:vAlign w:val="center"/>
            <w:hideMark/>
          </w:tcPr>
          <w:p w14:paraId="7391AD04" w14:textId="77777777" w:rsidR="00E3254B" w:rsidRPr="00E3254B" w:rsidRDefault="00E3254B" w:rsidP="00E3254B">
            <w:pPr>
              <w:rPr>
                <w:b/>
                <w:bCs/>
              </w:rPr>
            </w:pPr>
            <w:r w:rsidRPr="00E3254B">
              <w:rPr>
                <w:b/>
                <w:bCs/>
              </w:rPr>
              <w:t>Technology</w:t>
            </w:r>
          </w:p>
        </w:tc>
        <w:tc>
          <w:tcPr>
            <w:tcW w:w="0" w:type="auto"/>
            <w:vAlign w:val="center"/>
            <w:hideMark/>
          </w:tcPr>
          <w:p w14:paraId="36A76CE3" w14:textId="77777777" w:rsidR="00E3254B" w:rsidRPr="00E3254B" w:rsidRDefault="00E3254B" w:rsidP="00E3254B">
            <w:pPr>
              <w:rPr>
                <w:b/>
                <w:bCs/>
              </w:rPr>
            </w:pPr>
            <w:r w:rsidRPr="00E3254B">
              <w:rPr>
                <w:b/>
                <w:bCs/>
              </w:rPr>
              <w:t>20-Year LCOE</w:t>
            </w:r>
          </w:p>
        </w:tc>
        <w:tc>
          <w:tcPr>
            <w:tcW w:w="0" w:type="auto"/>
            <w:vAlign w:val="center"/>
            <w:hideMark/>
          </w:tcPr>
          <w:p w14:paraId="500912CF" w14:textId="77777777" w:rsidR="00E3254B" w:rsidRPr="00E3254B" w:rsidRDefault="00E3254B" w:rsidP="00E3254B">
            <w:pPr>
              <w:rPr>
                <w:b/>
                <w:bCs/>
              </w:rPr>
            </w:pPr>
            <w:r w:rsidRPr="00E3254B">
              <w:rPr>
                <w:b/>
                <w:bCs/>
              </w:rPr>
              <w:t>30-Year LCOE</w:t>
            </w:r>
          </w:p>
        </w:tc>
        <w:tc>
          <w:tcPr>
            <w:tcW w:w="0" w:type="auto"/>
            <w:vAlign w:val="center"/>
            <w:hideMark/>
          </w:tcPr>
          <w:p w14:paraId="072380F2" w14:textId="77777777" w:rsidR="00E3254B" w:rsidRPr="00E3254B" w:rsidRDefault="00E3254B" w:rsidP="00E3254B">
            <w:pPr>
              <w:rPr>
                <w:b/>
                <w:bCs/>
              </w:rPr>
            </w:pPr>
            <w:r w:rsidRPr="00E3254B">
              <w:rPr>
                <w:b/>
                <w:bCs/>
              </w:rPr>
              <w:t>Absolute Increase</w:t>
            </w:r>
          </w:p>
        </w:tc>
        <w:tc>
          <w:tcPr>
            <w:tcW w:w="0" w:type="auto"/>
            <w:vAlign w:val="center"/>
            <w:hideMark/>
          </w:tcPr>
          <w:p w14:paraId="78166D0C" w14:textId="77777777" w:rsidR="00E3254B" w:rsidRPr="00E3254B" w:rsidRDefault="00E3254B" w:rsidP="00E3254B">
            <w:pPr>
              <w:rPr>
                <w:b/>
                <w:bCs/>
              </w:rPr>
            </w:pPr>
            <w:r w:rsidRPr="00E3254B">
              <w:rPr>
                <w:b/>
                <w:bCs/>
              </w:rPr>
              <w:t>Percentage Increase</w:t>
            </w:r>
          </w:p>
        </w:tc>
      </w:tr>
      <w:tr w:rsidR="00E3254B" w:rsidRPr="00E3254B" w14:paraId="622C9D38" w14:textId="77777777">
        <w:trPr>
          <w:tblCellSpacing w:w="15" w:type="dxa"/>
        </w:trPr>
        <w:tc>
          <w:tcPr>
            <w:tcW w:w="0" w:type="auto"/>
            <w:vAlign w:val="center"/>
            <w:hideMark/>
          </w:tcPr>
          <w:p w14:paraId="4B44097A" w14:textId="77777777" w:rsidR="00E3254B" w:rsidRPr="00E3254B" w:rsidRDefault="00E3254B" w:rsidP="00E3254B">
            <w:r w:rsidRPr="00E3254B">
              <w:t>Land-Based Wind</w:t>
            </w:r>
          </w:p>
        </w:tc>
        <w:tc>
          <w:tcPr>
            <w:tcW w:w="0" w:type="auto"/>
            <w:vAlign w:val="center"/>
            <w:hideMark/>
          </w:tcPr>
          <w:p w14:paraId="0C2C7493" w14:textId="77777777" w:rsidR="00E3254B" w:rsidRPr="00E3254B" w:rsidRDefault="00E3254B" w:rsidP="00E3254B">
            <w:r w:rsidRPr="00E3254B">
              <w:t>$16.16/MWh</w:t>
            </w:r>
          </w:p>
        </w:tc>
        <w:tc>
          <w:tcPr>
            <w:tcW w:w="0" w:type="auto"/>
            <w:vAlign w:val="center"/>
            <w:hideMark/>
          </w:tcPr>
          <w:p w14:paraId="2080EA6B" w14:textId="77777777" w:rsidR="00E3254B" w:rsidRPr="00E3254B" w:rsidRDefault="00E3254B" w:rsidP="00E3254B">
            <w:r w:rsidRPr="00E3254B">
              <w:t>$14.53/MWh</w:t>
            </w:r>
          </w:p>
        </w:tc>
        <w:tc>
          <w:tcPr>
            <w:tcW w:w="0" w:type="auto"/>
            <w:vAlign w:val="center"/>
            <w:hideMark/>
          </w:tcPr>
          <w:p w14:paraId="0CADDB7F" w14:textId="77777777" w:rsidR="00E3254B" w:rsidRPr="00E3254B" w:rsidRDefault="00E3254B" w:rsidP="00E3254B">
            <w:r w:rsidRPr="00E3254B">
              <w:t>$1.63/MWh</w:t>
            </w:r>
          </w:p>
        </w:tc>
        <w:tc>
          <w:tcPr>
            <w:tcW w:w="0" w:type="auto"/>
            <w:vAlign w:val="center"/>
            <w:hideMark/>
          </w:tcPr>
          <w:p w14:paraId="04CA5BB3" w14:textId="77777777" w:rsidR="00E3254B" w:rsidRPr="00E3254B" w:rsidRDefault="00E3254B" w:rsidP="00E3254B">
            <w:r w:rsidRPr="00E3254B">
              <w:t>11.22%</w:t>
            </w:r>
          </w:p>
        </w:tc>
      </w:tr>
      <w:tr w:rsidR="00E3254B" w:rsidRPr="00E3254B" w14:paraId="7904C1C0" w14:textId="77777777">
        <w:trPr>
          <w:tblCellSpacing w:w="15" w:type="dxa"/>
        </w:trPr>
        <w:tc>
          <w:tcPr>
            <w:tcW w:w="0" w:type="auto"/>
            <w:vAlign w:val="center"/>
            <w:hideMark/>
          </w:tcPr>
          <w:p w14:paraId="64985A36" w14:textId="77777777" w:rsidR="00E3254B" w:rsidRPr="00E3254B" w:rsidRDefault="00E3254B" w:rsidP="00E3254B">
            <w:r w:rsidRPr="00E3254B">
              <w:lastRenderedPageBreak/>
              <w:t>Utility-Scale Solar PV</w:t>
            </w:r>
          </w:p>
        </w:tc>
        <w:tc>
          <w:tcPr>
            <w:tcW w:w="0" w:type="auto"/>
            <w:vAlign w:val="center"/>
            <w:hideMark/>
          </w:tcPr>
          <w:p w14:paraId="43C9C6E6" w14:textId="77777777" w:rsidR="00E3254B" w:rsidRPr="00E3254B" w:rsidRDefault="00E3254B" w:rsidP="00E3254B">
            <w:r w:rsidRPr="00E3254B">
              <w:t>$29.39/MWh</w:t>
            </w:r>
          </w:p>
        </w:tc>
        <w:tc>
          <w:tcPr>
            <w:tcW w:w="0" w:type="auto"/>
            <w:vAlign w:val="center"/>
            <w:hideMark/>
          </w:tcPr>
          <w:p w14:paraId="2EE03402" w14:textId="77777777" w:rsidR="00E3254B" w:rsidRPr="00E3254B" w:rsidRDefault="00E3254B" w:rsidP="00E3254B">
            <w:r w:rsidRPr="00E3254B">
              <w:t>$24.94/MWh</w:t>
            </w:r>
          </w:p>
        </w:tc>
        <w:tc>
          <w:tcPr>
            <w:tcW w:w="0" w:type="auto"/>
            <w:vAlign w:val="center"/>
            <w:hideMark/>
          </w:tcPr>
          <w:p w14:paraId="6A37EB05" w14:textId="77777777" w:rsidR="00E3254B" w:rsidRPr="00E3254B" w:rsidRDefault="00E3254B" w:rsidP="00E3254B">
            <w:r w:rsidRPr="00E3254B">
              <w:t>$4.45/MWh</w:t>
            </w:r>
          </w:p>
        </w:tc>
        <w:tc>
          <w:tcPr>
            <w:tcW w:w="0" w:type="auto"/>
            <w:vAlign w:val="center"/>
            <w:hideMark/>
          </w:tcPr>
          <w:p w14:paraId="7E4004CA" w14:textId="77777777" w:rsidR="00E3254B" w:rsidRPr="00E3254B" w:rsidRDefault="00E3254B" w:rsidP="00E3254B">
            <w:r w:rsidRPr="00E3254B">
              <w:t>17.84%</w:t>
            </w:r>
          </w:p>
        </w:tc>
      </w:tr>
    </w:tbl>
    <w:p w14:paraId="4689D311" w14:textId="77777777" w:rsidR="00E3254B" w:rsidRPr="00E3254B" w:rsidRDefault="00E3254B" w:rsidP="00E3254B">
      <w:r w:rsidRPr="00E3254B">
        <w:t>The results show that the reported LCOE increases for both technologies when the recovery period is shortened.</w:t>
      </w:r>
    </w:p>
    <w:p w14:paraId="307317CE" w14:textId="77777777" w:rsidR="00E3254B" w:rsidRPr="00E3254B" w:rsidRDefault="00E3254B" w:rsidP="00E3254B">
      <w:pPr>
        <w:rPr>
          <w:b/>
          <w:bCs/>
        </w:rPr>
      </w:pPr>
      <w:r w:rsidRPr="00E3254B">
        <w:rPr>
          <w:b/>
          <w:bCs/>
        </w:rPr>
        <w:t>6.3 Wind Sensitivity</w:t>
      </w:r>
    </w:p>
    <w:p w14:paraId="4A651180" w14:textId="77777777" w:rsidR="00E3254B" w:rsidRPr="00E3254B" w:rsidRDefault="00E3254B" w:rsidP="00E3254B">
      <w:r w:rsidRPr="00E3254B">
        <w:t>For land-based wind, the LCOE rises from $14.53/MWh under the 30-year assumption to $16.16/MWh under the 20-year assumption.</w:t>
      </w:r>
    </w:p>
    <w:p w14:paraId="225D4946" w14:textId="77777777" w:rsidR="00E3254B" w:rsidRPr="00E3254B" w:rsidRDefault="00E3254B" w:rsidP="00E3254B">
      <w:r w:rsidRPr="00E3254B">
        <w:t>The absolute increase is $1.63/MWh, equivalent to 11.22%.</w:t>
      </w:r>
    </w:p>
    <w:p w14:paraId="6FD0B9E0" w14:textId="77777777" w:rsidR="00E3254B" w:rsidRPr="00E3254B" w:rsidRDefault="00E3254B" w:rsidP="00E3254B">
      <w:r w:rsidRPr="00E3254B">
        <w:t>This suggests that the wind LCOE estimate is affected by the selected recovery-period assumption, although the magnitude of the change is smaller than the change observed for solar in this analysis.</w:t>
      </w:r>
    </w:p>
    <w:p w14:paraId="3577B01A" w14:textId="77777777" w:rsidR="00E3254B" w:rsidRPr="00E3254B" w:rsidRDefault="00E3254B" w:rsidP="00E3254B">
      <w:pPr>
        <w:rPr>
          <w:b/>
          <w:bCs/>
        </w:rPr>
      </w:pPr>
      <w:r w:rsidRPr="00E3254B">
        <w:rPr>
          <w:b/>
          <w:bCs/>
        </w:rPr>
        <w:t>6.4 Solar Sensitivity</w:t>
      </w:r>
    </w:p>
    <w:p w14:paraId="4BAB944F" w14:textId="77777777" w:rsidR="00E3254B" w:rsidRPr="00E3254B" w:rsidRDefault="00E3254B" w:rsidP="00E3254B">
      <w:r w:rsidRPr="00E3254B">
        <w:t>For utility-scale solar PV, the LCOE rises from $24.94/MWh to $29.39/MWh.</w:t>
      </w:r>
    </w:p>
    <w:p w14:paraId="106583C0" w14:textId="77777777" w:rsidR="00E3254B" w:rsidRPr="00E3254B" w:rsidRDefault="00E3254B" w:rsidP="00E3254B">
      <w:r w:rsidRPr="00E3254B">
        <w:t>The absolute increase is $4.45/MWh, equivalent to 17.84%.</w:t>
      </w:r>
    </w:p>
    <w:p w14:paraId="217C298E" w14:textId="77777777" w:rsidR="00E3254B" w:rsidRPr="00E3254B" w:rsidRDefault="00E3254B" w:rsidP="00E3254B">
      <w:r w:rsidRPr="00E3254B">
        <w:t>Solar therefore exhibits a larger reported change in both absolute and percentage terms than wind in this specific comparison.</w:t>
      </w:r>
    </w:p>
    <w:p w14:paraId="3352E708" w14:textId="77777777" w:rsidR="00E3254B" w:rsidRPr="00E3254B" w:rsidRDefault="00E3254B" w:rsidP="00E3254B">
      <w:pPr>
        <w:rPr>
          <w:b/>
          <w:bCs/>
        </w:rPr>
      </w:pPr>
      <w:r w:rsidRPr="00E3254B">
        <w:rPr>
          <w:b/>
          <w:bCs/>
        </w:rPr>
        <w:t>6.5 Comparative Interpretation</w:t>
      </w:r>
    </w:p>
    <w:p w14:paraId="0E75EB76" w14:textId="77777777" w:rsidR="00E3254B" w:rsidRPr="00E3254B" w:rsidRDefault="00E3254B" w:rsidP="00E3254B">
      <w:r w:rsidRPr="00E3254B">
        <w:t>The percentage increase in solar LCOE is 6.62 percentage points greater than the increase in wind LCOE.</w:t>
      </w:r>
    </w:p>
    <w:p w14:paraId="5CD6C144" w14:textId="77777777" w:rsidR="00E3254B" w:rsidRPr="00E3254B" w:rsidRDefault="00E3254B" w:rsidP="00E3254B">
      <w:r w:rsidRPr="00E3254B">
        <w:t>This result demonstrates that the selected cost recovery assumption affects the two technologies differently in the ATB records used for the project.</w:t>
      </w:r>
    </w:p>
    <w:p w14:paraId="35C13EC5" w14:textId="77777777" w:rsidR="00E3254B" w:rsidRPr="00E3254B" w:rsidRDefault="00E3254B" w:rsidP="00E3254B">
      <w:r w:rsidRPr="00E3254B">
        <w:t>The finding should not be generalized to every solar and wind project. The result applies to the selected technology classes, projection year, scenario, tax-credit case, and dataset assumptions.</w:t>
      </w:r>
    </w:p>
    <w:p w14:paraId="5191E913" w14:textId="77777777" w:rsidR="00E3254B" w:rsidRPr="00E3254B" w:rsidRDefault="00E3254B" w:rsidP="00E3254B">
      <w:pPr>
        <w:rPr>
          <w:b/>
          <w:bCs/>
        </w:rPr>
      </w:pPr>
      <w:r w:rsidRPr="00E3254B">
        <w:rPr>
          <w:b/>
          <w:bCs/>
        </w:rPr>
        <w:t>7. Key Findings and Business Implications</w:t>
      </w:r>
    </w:p>
    <w:p w14:paraId="65A7721D" w14:textId="77777777" w:rsidR="00E3254B" w:rsidRPr="00E3254B" w:rsidRDefault="00E3254B" w:rsidP="00E3254B">
      <w:pPr>
        <w:rPr>
          <w:b/>
          <w:bCs/>
        </w:rPr>
      </w:pPr>
      <w:r w:rsidRPr="00E3254B">
        <w:rPr>
          <w:b/>
          <w:bCs/>
        </w:rPr>
        <w:t>Finding 1: Wind has the lower reported generation cost</w:t>
      </w:r>
    </w:p>
    <w:p w14:paraId="63D1B82C" w14:textId="77777777" w:rsidR="00E3254B" w:rsidRPr="00E3254B" w:rsidRDefault="00E3254B" w:rsidP="00E3254B">
      <w:r w:rsidRPr="00E3254B">
        <w:t>The projected LCOE for land-based wind is approximately 41.7% lower than utility-scale solar PV in the selected 2027 base case.</w:t>
      </w:r>
    </w:p>
    <w:p w14:paraId="7F935090" w14:textId="77777777" w:rsidR="00E3254B" w:rsidRPr="00E3254B" w:rsidRDefault="00E3254B" w:rsidP="00E3254B">
      <w:r w:rsidRPr="00E3254B">
        <w:rPr>
          <w:b/>
          <w:bCs/>
        </w:rPr>
        <w:lastRenderedPageBreak/>
        <w:t>Business implication:</w:t>
      </w:r>
      <w:r w:rsidRPr="00E3254B">
        <w:t xml:space="preserve"> Under these assumptions, wind is the lower-cost option when comparing the modeled cost per MWh. This can inform an initial generation-cost screening, but it is not sufficient by itself to select an investment.</w:t>
      </w:r>
    </w:p>
    <w:p w14:paraId="5186A9AF" w14:textId="77777777" w:rsidR="00E3254B" w:rsidRPr="00E3254B" w:rsidRDefault="00E3254B" w:rsidP="00E3254B">
      <w:pPr>
        <w:rPr>
          <w:b/>
          <w:bCs/>
        </w:rPr>
      </w:pPr>
      <w:r w:rsidRPr="00E3254B">
        <w:rPr>
          <w:b/>
          <w:bCs/>
        </w:rPr>
        <w:t>Finding 2: Upfront capital cost does not determine the final ranking</w:t>
      </w:r>
    </w:p>
    <w:p w14:paraId="362884B4" w14:textId="77777777" w:rsidR="00E3254B" w:rsidRPr="00E3254B" w:rsidRDefault="00E3254B" w:rsidP="00E3254B">
      <w:r w:rsidRPr="00E3254B">
        <w:t>Wind has a higher reported capital cost per kW but a lower LCOE than solar.</w:t>
      </w:r>
    </w:p>
    <w:p w14:paraId="4B77B6F8" w14:textId="77777777" w:rsidR="00E3254B" w:rsidRPr="00E3254B" w:rsidRDefault="00E3254B" w:rsidP="00E3254B">
      <w:r w:rsidRPr="00E3254B">
        <w:rPr>
          <w:b/>
          <w:bCs/>
        </w:rPr>
        <w:t>Business implication:</w:t>
      </w:r>
      <w:r w:rsidRPr="00E3254B">
        <w:t xml:space="preserve"> Investment analysis should consider expected generation, operating costs, financing assumptions, and other modeled costs instead of ranking technologies by installation cost alone.</w:t>
      </w:r>
    </w:p>
    <w:p w14:paraId="4AB3302B" w14:textId="77777777" w:rsidR="00E3254B" w:rsidRPr="00E3254B" w:rsidRDefault="00E3254B" w:rsidP="00E3254B">
      <w:pPr>
        <w:rPr>
          <w:b/>
          <w:bCs/>
        </w:rPr>
      </w:pPr>
      <w:r w:rsidRPr="00E3254B">
        <w:rPr>
          <w:b/>
          <w:bCs/>
        </w:rPr>
        <w:t>Finding 3: Capacity factor is an important comparison metric</w:t>
      </w:r>
    </w:p>
    <w:p w14:paraId="574BC6EC" w14:textId="77777777" w:rsidR="00E3254B" w:rsidRPr="00E3254B" w:rsidRDefault="00E3254B" w:rsidP="00E3254B">
      <w:r w:rsidRPr="00E3254B">
        <w:t>Wind's reported capacity factor is 46.52%, compared with 28.49% for solar.</w:t>
      </w:r>
    </w:p>
    <w:p w14:paraId="111B3BC1" w14:textId="77777777" w:rsidR="00E3254B" w:rsidRPr="00E3254B" w:rsidRDefault="00E3254B" w:rsidP="00E3254B">
      <w:r w:rsidRPr="00E3254B">
        <w:rPr>
          <w:b/>
          <w:bCs/>
        </w:rPr>
        <w:t>Business implication:</w:t>
      </w:r>
      <w:r w:rsidRPr="00E3254B">
        <w:t xml:space="preserve"> Analysts should examine the expected utilization of installed capacity when evaluating the relationship between capital investment and electricity generation. Capacity factor should be interpreted alongside the resource profile and other economic assumptions.</w:t>
      </w:r>
    </w:p>
    <w:p w14:paraId="5CD023CB" w14:textId="77777777" w:rsidR="00E3254B" w:rsidRPr="00E3254B" w:rsidRDefault="00E3254B" w:rsidP="00E3254B">
      <w:pPr>
        <w:rPr>
          <w:b/>
          <w:bCs/>
        </w:rPr>
      </w:pPr>
      <w:r w:rsidRPr="00E3254B">
        <w:rPr>
          <w:b/>
          <w:bCs/>
        </w:rPr>
        <w:t>Finding 4: Cost recovery assumptions materially affect LCOE</w:t>
      </w:r>
    </w:p>
    <w:p w14:paraId="37FA03EE" w14:textId="77777777" w:rsidR="00E3254B" w:rsidRPr="00E3254B" w:rsidRDefault="00E3254B" w:rsidP="00E3254B">
      <w:r w:rsidRPr="00E3254B">
        <w:t>Reducing the cost recovery period from 30 years to 20 years increases the reported LCOE for both technologies.</w:t>
      </w:r>
    </w:p>
    <w:p w14:paraId="0D758B7E" w14:textId="77777777" w:rsidR="00E3254B" w:rsidRPr="00E3254B" w:rsidRDefault="00E3254B" w:rsidP="00E3254B">
      <w:r w:rsidRPr="00E3254B">
        <w:rPr>
          <w:b/>
          <w:bCs/>
        </w:rPr>
        <w:t>Business implication:</w:t>
      </w:r>
      <w:r w:rsidRPr="00E3254B">
        <w:t xml:space="preserve"> Economic comparisons should make financing and recovery assumptions explicit. Sensitivity analysis helps decision-makers understand how much a result depends on a particular assumption.</w:t>
      </w:r>
    </w:p>
    <w:p w14:paraId="717525EE" w14:textId="77777777" w:rsidR="00E3254B" w:rsidRPr="00E3254B" w:rsidRDefault="00E3254B" w:rsidP="00E3254B">
      <w:pPr>
        <w:rPr>
          <w:b/>
          <w:bCs/>
        </w:rPr>
      </w:pPr>
      <w:r w:rsidRPr="00E3254B">
        <w:rPr>
          <w:b/>
          <w:bCs/>
        </w:rPr>
        <w:t>Finding 5: LCOE is a cost benchmark, not a complete market-value measure</w:t>
      </w:r>
    </w:p>
    <w:p w14:paraId="363D0E67" w14:textId="77777777" w:rsidR="00E3254B" w:rsidRPr="00E3254B" w:rsidRDefault="00E3254B" w:rsidP="00E3254B">
      <w:r w:rsidRPr="00E3254B">
        <w:t>A technology can have a low LCOE without necessarily generating electricity at the times or locations when it is most valuable to the electricity system.</w:t>
      </w:r>
    </w:p>
    <w:p w14:paraId="5F5E5178" w14:textId="77777777" w:rsidR="00E3254B" w:rsidRPr="00E3254B" w:rsidRDefault="00E3254B" w:rsidP="00E3254B">
      <w:r w:rsidRPr="00E3254B">
        <w:rPr>
          <w:b/>
          <w:bCs/>
        </w:rPr>
        <w:t>Business implication:</w:t>
      </w:r>
      <w:r w:rsidRPr="00E3254B">
        <w:t xml:space="preserve"> A more comprehensive energy market analysis would combine generation costs with electricity prices, production profiles, transmission and interconnection costs, and the costs of balancing variable generation.</w:t>
      </w:r>
    </w:p>
    <w:p w14:paraId="40685072" w14:textId="77777777" w:rsidR="00E3254B" w:rsidRPr="00E3254B" w:rsidRDefault="00E3254B" w:rsidP="00E3254B">
      <w:pPr>
        <w:rPr>
          <w:b/>
          <w:bCs/>
        </w:rPr>
      </w:pPr>
      <w:r w:rsidRPr="00E3254B">
        <w:rPr>
          <w:b/>
          <w:bCs/>
        </w:rPr>
        <w:t>8. Limitations</w:t>
      </w:r>
    </w:p>
    <w:p w14:paraId="7CE2F5CF" w14:textId="77777777" w:rsidR="00E3254B" w:rsidRPr="00E3254B" w:rsidRDefault="00E3254B" w:rsidP="00E3254B">
      <w:pPr>
        <w:rPr>
          <w:b/>
          <w:bCs/>
        </w:rPr>
      </w:pPr>
      <w:r w:rsidRPr="00E3254B">
        <w:rPr>
          <w:b/>
          <w:bCs/>
        </w:rPr>
        <w:t>8.1 Dependence on Model Assumptions</w:t>
      </w:r>
    </w:p>
    <w:p w14:paraId="29FD0295" w14:textId="77777777" w:rsidR="00E3254B" w:rsidRPr="00E3254B" w:rsidRDefault="00E3254B" w:rsidP="00E3254B">
      <w:r w:rsidRPr="00E3254B">
        <w:t>The findings depend on the selected ATB scenario, projection year, technology class, cost recovery period, and tax-credit case. Alternative assumptions may produce different results.</w:t>
      </w:r>
    </w:p>
    <w:p w14:paraId="6A58D5AF" w14:textId="77777777" w:rsidR="00E3254B" w:rsidRPr="00E3254B" w:rsidRDefault="00E3254B" w:rsidP="00E3254B">
      <w:r w:rsidRPr="00E3254B">
        <w:lastRenderedPageBreak/>
        <w:t>The analysis should therefore be interpreted as a comparison under a specified set of assumptions rather than a universal cost ranking.</w:t>
      </w:r>
    </w:p>
    <w:p w14:paraId="6D0A8652" w14:textId="77777777" w:rsidR="00E3254B" w:rsidRPr="00E3254B" w:rsidRDefault="00E3254B" w:rsidP="00E3254B">
      <w:pPr>
        <w:rPr>
          <w:b/>
          <w:bCs/>
        </w:rPr>
      </w:pPr>
      <w:r w:rsidRPr="00E3254B">
        <w:rPr>
          <w:b/>
          <w:bCs/>
        </w:rPr>
        <w:t>8.2 LCOE Does Not Capture the Full Market Value of Electricity</w:t>
      </w:r>
    </w:p>
    <w:p w14:paraId="47CFD945" w14:textId="77777777" w:rsidR="00E3254B" w:rsidRPr="00E3254B" w:rsidRDefault="00E3254B" w:rsidP="00E3254B">
      <w:r w:rsidRPr="00E3254B">
        <w:t>LCOE measures modeled generation cost, not the revenue a plant will earn in the electricity market.</w:t>
      </w:r>
    </w:p>
    <w:p w14:paraId="0BCF120C" w14:textId="77777777" w:rsidR="00E3254B" w:rsidRPr="00E3254B" w:rsidRDefault="00E3254B" w:rsidP="00E3254B">
      <w:r w:rsidRPr="00E3254B">
        <w:t>It does not by itself establish the wholesale market price received by a generator, its profitability, or its competitiveness in a particular region.</w:t>
      </w:r>
    </w:p>
    <w:p w14:paraId="21F41201" w14:textId="77777777" w:rsidR="00E3254B" w:rsidRPr="00E3254B" w:rsidRDefault="00E3254B" w:rsidP="00E3254B">
      <w:pPr>
        <w:rPr>
          <w:b/>
          <w:bCs/>
        </w:rPr>
      </w:pPr>
      <w:r w:rsidRPr="00E3254B">
        <w:rPr>
          <w:b/>
          <w:bCs/>
        </w:rPr>
        <w:t>8.3 Generation Timing and Variability</w:t>
      </w:r>
    </w:p>
    <w:p w14:paraId="2B637A52" w14:textId="77777777" w:rsidR="00E3254B" w:rsidRPr="00E3254B" w:rsidRDefault="00E3254B" w:rsidP="00E3254B">
      <w:r w:rsidRPr="00E3254B">
        <w:t>Solar and wind have different production profiles. The timing of generation can influence the market price received and the need for other resources to maintain system reliability.</w:t>
      </w:r>
    </w:p>
    <w:p w14:paraId="225859FB" w14:textId="77777777" w:rsidR="00E3254B" w:rsidRPr="00E3254B" w:rsidRDefault="00E3254B" w:rsidP="00E3254B">
      <w:r w:rsidRPr="00E3254B">
        <w:t>The project does not analyze hourly or seasonal electricity generation, capture prices, curtailment, storage dispatch, or balancing requirements.</w:t>
      </w:r>
    </w:p>
    <w:p w14:paraId="3280C2E2" w14:textId="77777777" w:rsidR="00E3254B" w:rsidRPr="00E3254B" w:rsidRDefault="00E3254B" w:rsidP="00E3254B">
      <w:pPr>
        <w:rPr>
          <w:b/>
          <w:bCs/>
        </w:rPr>
      </w:pPr>
      <w:r w:rsidRPr="00E3254B">
        <w:rPr>
          <w:b/>
          <w:bCs/>
        </w:rPr>
        <w:t>8.4 Transmission and Interconnection</w:t>
      </w:r>
    </w:p>
    <w:p w14:paraId="10C123A2" w14:textId="77777777" w:rsidR="00E3254B" w:rsidRPr="00E3254B" w:rsidRDefault="00E3254B" w:rsidP="00E3254B">
      <w:r w:rsidRPr="00E3254B">
        <w:t>The analysis does not independently model transmission expansion, congestion, interconnection costs, or location-specific grid constraints.</w:t>
      </w:r>
    </w:p>
    <w:p w14:paraId="5C80B4EC" w14:textId="77777777" w:rsidR="00E3254B" w:rsidRPr="00E3254B" w:rsidRDefault="00E3254B" w:rsidP="00E3254B">
      <w:r w:rsidRPr="00E3254B">
        <w:t>These factors can influence the delivered cost and commercial attractiveness of a generation project.</w:t>
      </w:r>
    </w:p>
    <w:p w14:paraId="50A9AEFB" w14:textId="77777777" w:rsidR="00E3254B" w:rsidRPr="00E3254B" w:rsidRDefault="00E3254B" w:rsidP="00E3254B">
      <w:pPr>
        <w:rPr>
          <w:b/>
          <w:bCs/>
        </w:rPr>
      </w:pPr>
      <w:r w:rsidRPr="00E3254B">
        <w:rPr>
          <w:b/>
          <w:bCs/>
        </w:rPr>
        <w:t>8.5 Limited Technology Coverage</w:t>
      </w:r>
    </w:p>
    <w:p w14:paraId="18AAA695" w14:textId="77777777" w:rsidR="00E3254B" w:rsidRPr="00E3254B" w:rsidRDefault="00E3254B" w:rsidP="00E3254B">
      <w:r w:rsidRPr="00E3254B">
        <w:t>The numerical comparison includes only utility-scale solar PV Class 4 and land-based wind Class 4. It does not establish a complete ranking of all renewable technologies or conventional generation resources.</w:t>
      </w:r>
    </w:p>
    <w:p w14:paraId="65C55BF9" w14:textId="77777777" w:rsidR="00E3254B" w:rsidRPr="00E3254B" w:rsidRDefault="00E3254B" w:rsidP="00E3254B">
      <w:r w:rsidRPr="00E3254B">
        <w:t>Natural gas was reviewed during data exploration but excluded from the final comparison.</w:t>
      </w:r>
    </w:p>
    <w:p w14:paraId="5F6641FC" w14:textId="77777777" w:rsidR="00E3254B" w:rsidRPr="00E3254B" w:rsidRDefault="00E3254B" w:rsidP="00E3254B">
      <w:pPr>
        <w:rPr>
          <w:b/>
          <w:bCs/>
        </w:rPr>
      </w:pPr>
      <w:r w:rsidRPr="00E3254B">
        <w:rPr>
          <w:b/>
          <w:bCs/>
        </w:rPr>
        <w:t>8.6 Limited Scenario Coverage</w:t>
      </w:r>
    </w:p>
    <w:p w14:paraId="70FE5B47" w14:textId="77777777" w:rsidR="00E3254B" w:rsidRPr="00E3254B" w:rsidRDefault="00E3254B" w:rsidP="00E3254B">
      <w:r w:rsidRPr="00E3254B">
        <w:t>The project uses the Moderate scenario and the 2027 projection year. It does not systematically compare all ATB scenarios, projection years, regions, or technology classes.</w:t>
      </w:r>
    </w:p>
    <w:p w14:paraId="6900A0DC" w14:textId="77777777" w:rsidR="00E3254B" w:rsidRPr="00E3254B" w:rsidRDefault="00E3254B" w:rsidP="00E3254B">
      <w:pPr>
        <w:rPr>
          <w:b/>
          <w:bCs/>
        </w:rPr>
      </w:pPr>
      <w:r w:rsidRPr="00E3254B">
        <w:rPr>
          <w:b/>
          <w:bCs/>
        </w:rPr>
        <w:t>8.7 Dataset Metadata and Units</w:t>
      </w:r>
    </w:p>
    <w:p w14:paraId="582811AE" w14:textId="77777777" w:rsidR="00E3254B" w:rsidRPr="00E3254B" w:rsidRDefault="00E3254B" w:rsidP="00E3254B">
      <w:r w:rsidRPr="00E3254B">
        <w:t>The original CSV contains missing values in some metadata fields, including a completely missing units column. The project relies on the selected metric names and their reported values for the comparison.</w:t>
      </w:r>
    </w:p>
    <w:p w14:paraId="143B206C" w14:textId="77777777" w:rsidR="00E3254B" w:rsidRPr="00E3254B" w:rsidRDefault="00E3254B" w:rsidP="00E3254B">
      <w:r w:rsidRPr="00E3254B">
        <w:lastRenderedPageBreak/>
        <w:t>For publication or investment use, the metric definitions, unit conventions, technology-class descriptions, and tax-credit treatment should be verified against the original ATB documentation. The notebook's labels should not substitute for source-level verification.</w:t>
      </w:r>
    </w:p>
    <w:p w14:paraId="3B578B67" w14:textId="77777777" w:rsidR="00E3254B" w:rsidRPr="00E3254B" w:rsidRDefault="00E3254B" w:rsidP="00E3254B">
      <w:pPr>
        <w:rPr>
          <w:b/>
          <w:bCs/>
        </w:rPr>
      </w:pPr>
      <w:r w:rsidRPr="00E3254B">
        <w:rPr>
          <w:b/>
          <w:bCs/>
        </w:rPr>
        <w:t>8.8 No Independent Recalculation of LCOE</w:t>
      </w:r>
    </w:p>
    <w:p w14:paraId="288BC2CA" w14:textId="77777777" w:rsidR="00E3254B" w:rsidRPr="00E3254B" w:rsidRDefault="00E3254B" w:rsidP="00E3254B">
      <w:r w:rsidRPr="00E3254B">
        <w:t>This project compares the LCOE values reported by the ATB dataset. It does not independently calculate LCOE from projected cash flows, annual generation, financing costs, and project lifetimes.</w:t>
      </w:r>
    </w:p>
    <w:p w14:paraId="14BC8718" w14:textId="77777777" w:rsidR="00E3254B" w:rsidRPr="00E3254B" w:rsidRDefault="00E3254B" w:rsidP="00E3254B">
      <w:r w:rsidRPr="00E3254B">
        <w:t>Consequently, the analysis evaluates reported model outputs rather than validating the underlying LCOE calculation.</w:t>
      </w:r>
    </w:p>
    <w:p w14:paraId="1F9750AE" w14:textId="77777777" w:rsidR="00E3254B" w:rsidRPr="00E3254B" w:rsidRDefault="00E3254B" w:rsidP="00E3254B">
      <w:pPr>
        <w:rPr>
          <w:b/>
          <w:bCs/>
        </w:rPr>
      </w:pPr>
      <w:r w:rsidRPr="00E3254B">
        <w:rPr>
          <w:b/>
          <w:bCs/>
        </w:rPr>
        <w:t>9. Recommendations for Further Analysis</w:t>
      </w:r>
    </w:p>
    <w:p w14:paraId="0AFED617" w14:textId="77777777" w:rsidR="00E3254B" w:rsidRPr="00E3254B" w:rsidRDefault="00E3254B" w:rsidP="00E3254B">
      <w:r w:rsidRPr="00E3254B">
        <w:t>The current project is intentionally small. The following extensions could increase its usefulness for a professional energy market analyst without changing the scope of the existing results.</w:t>
      </w:r>
    </w:p>
    <w:p w14:paraId="6D67F0A4" w14:textId="77777777" w:rsidR="00E3254B" w:rsidRPr="00E3254B" w:rsidRDefault="00E3254B" w:rsidP="00E3254B">
      <w:pPr>
        <w:rPr>
          <w:b/>
          <w:bCs/>
        </w:rPr>
      </w:pPr>
      <w:r w:rsidRPr="00E3254B">
        <w:rPr>
          <w:b/>
          <w:bCs/>
        </w:rPr>
        <w:t>9.1 Compare Additional ATB Scenarios</w:t>
      </w:r>
    </w:p>
    <w:p w14:paraId="4787BDF0" w14:textId="77777777" w:rsidR="00E3254B" w:rsidRPr="00E3254B" w:rsidRDefault="00E3254B" w:rsidP="00E3254B">
      <w:r w:rsidRPr="00E3254B">
        <w:t>Compare the Moderate, Conservative, and Advanced scenarios to understand how projected LCOE changes under alternative technology and market assumptions.</w:t>
      </w:r>
    </w:p>
    <w:p w14:paraId="3D8E6B7E" w14:textId="77777777" w:rsidR="00E3254B" w:rsidRPr="00E3254B" w:rsidRDefault="00E3254B" w:rsidP="00E3254B">
      <w:pPr>
        <w:rPr>
          <w:b/>
          <w:bCs/>
        </w:rPr>
      </w:pPr>
      <w:r w:rsidRPr="00E3254B">
        <w:rPr>
          <w:b/>
          <w:bCs/>
        </w:rPr>
        <w:t>9.2 Test Additional Projection Years</w:t>
      </w:r>
    </w:p>
    <w:p w14:paraId="1BBE894E" w14:textId="77777777" w:rsidR="00E3254B" w:rsidRPr="00E3254B" w:rsidRDefault="00E3254B" w:rsidP="00E3254B">
      <w:r w:rsidRPr="00E3254B">
        <w:t>Compare selected projection years to examine whether the relative cost ranking changes over time.</w:t>
      </w:r>
    </w:p>
    <w:p w14:paraId="77A64894" w14:textId="77777777" w:rsidR="00E3254B" w:rsidRPr="00E3254B" w:rsidRDefault="00E3254B" w:rsidP="00E3254B">
      <w:pPr>
        <w:rPr>
          <w:b/>
          <w:bCs/>
        </w:rPr>
      </w:pPr>
      <w:r w:rsidRPr="00E3254B">
        <w:rPr>
          <w:b/>
          <w:bCs/>
        </w:rPr>
        <w:t>9.3 Add Regional Electricity Market Data</w:t>
      </w:r>
    </w:p>
    <w:p w14:paraId="413B4E67" w14:textId="77777777" w:rsidR="00E3254B" w:rsidRPr="00E3254B" w:rsidRDefault="00E3254B" w:rsidP="00E3254B">
      <w:r w:rsidRPr="00E3254B">
        <w:t>Use publicly available U.S. wholesale electricity market data to examine how prices vary by location and time. This would help distinguish generation cost from market value.</w:t>
      </w:r>
    </w:p>
    <w:p w14:paraId="1B3B89FB" w14:textId="77777777" w:rsidR="00E3254B" w:rsidRPr="00E3254B" w:rsidRDefault="00E3254B" w:rsidP="00E3254B">
      <w:pPr>
        <w:rPr>
          <w:b/>
          <w:bCs/>
        </w:rPr>
      </w:pPr>
      <w:r w:rsidRPr="00E3254B">
        <w:rPr>
          <w:b/>
          <w:bCs/>
        </w:rPr>
        <w:t>9.4 Examine Generation Profiles</w:t>
      </w:r>
    </w:p>
    <w:p w14:paraId="56291D60" w14:textId="77777777" w:rsidR="00E3254B" w:rsidRPr="00E3254B" w:rsidRDefault="00E3254B" w:rsidP="00E3254B">
      <w:r w:rsidRPr="00E3254B">
        <w:t>Use hourly solar and wind generation profiles to investigate when each technology produces electricity and how production timing may affect market value.</w:t>
      </w:r>
    </w:p>
    <w:p w14:paraId="0258D8C0" w14:textId="77777777" w:rsidR="00E3254B" w:rsidRPr="00E3254B" w:rsidRDefault="00E3254B" w:rsidP="00E3254B">
      <w:pPr>
        <w:rPr>
          <w:b/>
          <w:bCs/>
        </w:rPr>
      </w:pPr>
      <w:r w:rsidRPr="00E3254B">
        <w:rPr>
          <w:b/>
          <w:bCs/>
        </w:rPr>
        <w:t>9.5 Evaluate Storage and System Costs</w:t>
      </w:r>
    </w:p>
    <w:p w14:paraId="257FEE4E" w14:textId="77777777" w:rsidR="00E3254B" w:rsidRPr="00E3254B" w:rsidRDefault="00E3254B" w:rsidP="00E3254B">
      <w:r w:rsidRPr="00E3254B">
        <w:t>A more advanced extension could examine storage, transmission, curtailment, and balancing requirements. This would move the analysis from a generation-cost comparison toward a broader system-level economic assessment.</w:t>
      </w:r>
    </w:p>
    <w:p w14:paraId="37E5F4CA" w14:textId="77777777" w:rsidR="00E3254B" w:rsidRPr="00E3254B" w:rsidRDefault="00E3254B" w:rsidP="00E3254B">
      <w:r w:rsidRPr="00E3254B">
        <w:lastRenderedPageBreak/>
        <w:t>These extensions are recommendations for future work, not analyses completed in the current notebook.</w:t>
      </w:r>
    </w:p>
    <w:p w14:paraId="0BECBAAF" w14:textId="77777777" w:rsidR="00E3254B" w:rsidRPr="00E3254B" w:rsidRDefault="00E3254B" w:rsidP="00E3254B">
      <w:pPr>
        <w:rPr>
          <w:b/>
          <w:bCs/>
        </w:rPr>
      </w:pPr>
      <w:r w:rsidRPr="00E3254B">
        <w:rPr>
          <w:b/>
          <w:bCs/>
        </w:rPr>
        <w:t>10. Conclusion</w:t>
      </w:r>
    </w:p>
    <w:p w14:paraId="13C28220" w14:textId="77777777" w:rsidR="00E3254B" w:rsidRPr="00E3254B" w:rsidRDefault="00E3254B" w:rsidP="00E3254B">
      <w:r w:rsidRPr="00E3254B">
        <w:t>This project compares the projected 2027 levelized cost of electricity of utility-scale solar PV and land-based wind using selected records from the NREL 2024 Annual Technology Baseline.</w:t>
      </w:r>
    </w:p>
    <w:p w14:paraId="2806C218" w14:textId="77777777" w:rsidR="00E3254B" w:rsidRPr="00E3254B" w:rsidRDefault="00E3254B" w:rsidP="00E3254B">
      <w:r w:rsidRPr="00E3254B">
        <w:t>Under the chosen Market case, Moderate scenario, PTC tax-credit case, and 30-year cost recovery assumption, land-based wind has a reported LCOE of $14.53/MWh, while utility-scale solar PV has a reported LCOE of $24.94/MWh. Wind's LCOE is approximately 41.7% lower than solar's in this base case.</w:t>
      </w:r>
    </w:p>
    <w:p w14:paraId="2650DC9A" w14:textId="77777777" w:rsidR="00E3254B" w:rsidRPr="00E3254B" w:rsidRDefault="00E3254B" w:rsidP="00E3254B">
      <w:r w:rsidRPr="00E3254B">
        <w:t>The comparison also shows that wind has a higher reported capital cost per kW and a higher capacity factor than solar. These results illustrate why a generation-cost comparison requires multiple metrics rather than capital expenditure alone.</w:t>
      </w:r>
    </w:p>
    <w:p w14:paraId="072BB72C" w14:textId="77777777" w:rsidR="00E3254B" w:rsidRPr="00E3254B" w:rsidRDefault="00E3254B" w:rsidP="00E3254B">
      <w:r w:rsidRPr="00E3254B">
        <w:t>The sensitivity analysis indicates that reducing the cost recovery period from 30 years to 20 years increases the reported LCOE by 11.22% for wind and 17.84% for solar. Solar exhibits greater sensitivity to this assumption within the selected dataset and model conditions.</w:t>
      </w:r>
    </w:p>
    <w:p w14:paraId="331EC171" w14:textId="77777777" w:rsidR="00E3254B" w:rsidRPr="00E3254B" w:rsidRDefault="00E3254B" w:rsidP="00E3254B">
      <w:r w:rsidRPr="00E3254B">
        <w:t>Overall, the project demonstrates a structured approach to energy data analysis: defining a question, selecting consistent assumptions, extracting comparable metrics, quantifying differences, visualizing results, and communicating the limitations of the findings.</w:t>
      </w:r>
    </w:p>
    <w:p w14:paraId="3DEFD734" w14:textId="77777777" w:rsidR="00E3254B" w:rsidRPr="00E3254B" w:rsidRDefault="00E3254B" w:rsidP="00E3254B">
      <w:r w:rsidRPr="00E3254B">
        <w:t xml:space="preserve">The main conclusion is not that wind is universally superior to solar, but that </w:t>
      </w:r>
      <w:r w:rsidRPr="00E3254B">
        <w:rPr>
          <w:b/>
          <w:bCs/>
        </w:rPr>
        <w:t>land-based wind has a lower reported LCOE than utility-scale solar PV under the specific assumptions evaluated</w:t>
      </w:r>
      <w:r w:rsidRPr="00E3254B">
        <w:t>. A complete investment or electricity-market assessment would require additional analysis of market prices, generation timing, transmission, system integration, and regional conditions.</w:t>
      </w:r>
    </w:p>
    <w:p w14:paraId="351FC6D9" w14:textId="77777777" w:rsidR="00E3254B" w:rsidRPr="00E3254B" w:rsidRDefault="00E3254B" w:rsidP="00E3254B">
      <w:pPr>
        <w:rPr>
          <w:b/>
          <w:bCs/>
        </w:rPr>
      </w:pPr>
      <w:r w:rsidRPr="00E3254B">
        <w:rPr>
          <w:b/>
          <w:bCs/>
        </w:rPr>
        <w:t>Appendix A. Technical Workflow</w:t>
      </w:r>
    </w:p>
    <w:p w14:paraId="1F1C4E52" w14:textId="77777777" w:rsidR="00E3254B" w:rsidRPr="00E3254B" w:rsidRDefault="00E3254B" w:rsidP="00E3254B">
      <w:r w:rsidRPr="00E3254B">
        <w:t>The analysis was implemented in Python using the following libraries:</w:t>
      </w:r>
    </w:p>
    <w:p w14:paraId="1BF57150" w14:textId="77777777" w:rsidR="00E3254B" w:rsidRPr="00E3254B" w:rsidRDefault="00E3254B" w:rsidP="00E3254B">
      <w:pPr>
        <w:numPr>
          <w:ilvl w:val="0"/>
          <w:numId w:val="7"/>
        </w:numPr>
      </w:pPr>
      <w:r w:rsidRPr="00E3254B">
        <w:rPr>
          <w:b/>
          <w:bCs/>
        </w:rPr>
        <w:t>Pandas:</w:t>
      </w:r>
      <w:r w:rsidRPr="00E3254B">
        <w:t xml:space="preserve"> CSV ingestion, data validation, filtering, pivoting, and tabular reporting.</w:t>
      </w:r>
    </w:p>
    <w:p w14:paraId="3208D584" w14:textId="77777777" w:rsidR="00E3254B" w:rsidRPr="00E3254B" w:rsidRDefault="00E3254B" w:rsidP="00E3254B">
      <w:pPr>
        <w:numPr>
          <w:ilvl w:val="0"/>
          <w:numId w:val="7"/>
        </w:numPr>
      </w:pPr>
      <w:r w:rsidRPr="00E3254B">
        <w:rPr>
          <w:b/>
          <w:bCs/>
        </w:rPr>
        <w:t>NumPy:</w:t>
      </w:r>
      <w:r w:rsidRPr="00E3254B">
        <w:t xml:space="preserve"> Numerical operations used in plotting and analysis.</w:t>
      </w:r>
    </w:p>
    <w:p w14:paraId="17F3FF6C" w14:textId="77777777" w:rsidR="00E3254B" w:rsidRPr="00E3254B" w:rsidRDefault="00E3254B" w:rsidP="00E3254B">
      <w:pPr>
        <w:numPr>
          <w:ilvl w:val="0"/>
          <w:numId w:val="7"/>
        </w:numPr>
      </w:pPr>
      <w:r w:rsidRPr="00E3254B">
        <w:rPr>
          <w:b/>
          <w:bCs/>
        </w:rPr>
        <w:t>Matplotlib:</w:t>
      </w:r>
      <w:r w:rsidRPr="00E3254B">
        <w:t xml:space="preserve"> Visualization of base-case LCOE and cost recovery sensitivity.</w:t>
      </w:r>
    </w:p>
    <w:p w14:paraId="069A9D3E" w14:textId="77777777" w:rsidR="00E3254B" w:rsidRPr="00E3254B" w:rsidRDefault="00E3254B" w:rsidP="00E3254B">
      <w:pPr>
        <w:numPr>
          <w:ilvl w:val="0"/>
          <w:numId w:val="7"/>
        </w:numPr>
      </w:pPr>
      <w:r w:rsidRPr="00E3254B">
        <w:rPr>
          <w:b/>
          <w:bCs/>
        </w:rPr>
        <w:t>Jupyter Notebook:</w:t>
      </w:r>
      <w:r w:rsidRPr="00E3254B">
        <w:t xml:space="preserve"> Documentation and execution of the analytical workflow.</w:t>
      </w:r>
    </w:p>
    <w:p w14:paraId="748F002E" w14:textId="77777777" w:rsidR="00E3254B" w:rsidRPr="00E3254B" w:rsidRDefault="00E3254B" w:rsidP="00E3254B">
      <w:r w:rsidRPr="00E3254B">
        <w:t>The principal steps were:</w:t>
      </w:r>
    </w:p>
    <w:p w14:paraId="2D06C871" w14:textId="77777777" w:rsidR="00E3254B" w:rsidRPr="00E3254B" w:rsidRDefault="00E3254B" w:rsidP="00E3254B">
      <w:pPr>
        <w:numPr>
          <w:ilvl w:val="0"/>
          <w:numId w:val="8"/>
        </w:numPr>
      </w:pPr>
      <w:r w:rsidRPr="00E3254B">
        <w:lastRenderedPageBreak/>
        <w:t>Load the NREL ATB CSV.</w:t>
      </w:r>
    </w:p>
    <w:p w14:paraId="784467E5" w14:textId="77777777" w:rsidR="00E3254B" w:rsidRPr="00E3254B" w:rsidRDefault="00E3254B" w:rsidP="00E3254B">
      <w:pPr>
        <w:numPr>
          <w:ilvl w:val="0"/>
          <w:numId w:val="8"/>
        </w:numPr>
      </w:pPr>
      <w:r w:rsidRPr="00E3254B">
        <w:t>Inspect dataset dimensions, missing values, years, cases, and scenarios.</w:t>
      </w:r>
    </w:p>
    <w:p w14:paraId="7352BC04" w14:textId="77777777" w:rsidR="00E3254B" w:rsidRPr="00E3254B" w:rsidRDefault="00E3254B" w:rsidP="00E3254B">
      <w:pPr>
        <w:numPr>
          <w:ilvl w:val="0"/>
          <w:numId w:val="8"/>
        </w:numPr>
      </w:pPr>
      <w:r w:rsidRPr="00E3254B">
        <w:t>Filter to the Market case, Moderate scenario, 2027 projection year, 30-year cost recovery period, and PTC tax-credit case.</w:t>
      </w:r>
    </w:p>
    <w:p w14:paraId="4803E129" w14:textId="77777777" w:rsidR="00E3254B" w:rsidRPr="00E3254B" w:rsidRDefault="00E3254B" w:rsidP="00E3254B">
      <w:pPr>
        <w:numPr>
          <w:ilvl w:val="0"/>
          <w:numId w:val="8"/>
        </w:numPr>
      </w:pPr>
      <w:r w:rsidRPr="00E3254B">
        <w:t>Select Utility PV Class 4 and Land-Based Wind Class 4.</w:t>
      </w:r>
    </w:p>
    <w:p w14:paraId="57E1B789" w14:textId="77777777" w:rsidR="00E3254B" w:rsidRPr="00E3254B" w:rsidRDefault="00E3254B" w:rsidP="00E3254B">
      <w:pPr>
        <w:numPr>
          <w:ilvl w:val="0"/>
          <w:numId w:val="8"/>
        </w:numPr>
      </w:pPr>
      <w:r w:rsidRPr="00E3254B">
        <w:t>Extract CAPEX, Fixed O&amp;M, capacity factor, and LCOE.</w:t>
      </w:r>
    </w:p>
    <w:p w14:paraId="094AF437" w14:textId="77777777" w:rsidR="00E3254B" w:rsidRPr="00E3254B" w:rsidRDefault="00E3254B" w:rsidP="00E3254B">
      <w:pPr>
        <w:numPr>
          <w:ilvl w:val="0"/>
          <w:numId w:val="8"/>
        </w:numPr>
      </w:pPr>
      <w:r w:rsidRPr="00E3254B">
        <w:t>Reshape the results into a comparative table.</w:t>
      </w:r>
    </w:p>
    <w:p w14:paraId="1B87959C" w14:textId="77777777" w:rsidR="00E3254B" w:rsidRPr="00E3254B" w:rsidRDefault="00E3254B" w:rsidP="00E3254B">
      <w:pPr>
        <w:numPr>
          <w:ilvl w:val="0"/>
          <w:numId w:val="8"/>
        </w:numPr>
      </w:pPr>
      <w:r w:rsidRPr="00E3254B">
        <w:t>Calculate the LCOE difference and relative cost comparison.</w:t>
      </w:r>
    </w:p>
    <w:p w14:paraId="3B833AEB" w14:textId="77777777" w:rsidR="00E3254B" w:rsidRPr="00E3254B" w:rsidRDefault="00E3254B" w:rsidP="00E3254B">
      <w:pPr>
        <w:numPr>
          <w:ilvl w:val="0"/>
          <w:numId w:val="8"/>
        </w:numPr>
      </w:pPr>
      <w:r w:rsidRPr="00E3254B">
        <w:t>Visualize base-case LCOE.</w:t>
      </w:r>
    </w:p>
    <w:p w14:paraId="34781A85" w14:textId="77777777" w:rsidR="00E3254B" w:rsidRPr="00E3254B" w:rsidRDefault="00E3254B" w:rsidP="00E3254B">
      <w:pPr>
        <w:numPr>
          <w:ilvl w:val="0"/>
          <w:numId w:val="8"/>
        </w:numPr>
      </w:pPr>
      <w:r w:rsidRPr="00E3254B">
        <w:t>Extract 20-year and 30-year LCOE values.</w:t>
      </w:r>
    </w:p>
    <w:p w14:paraId="7E9E2F4A" w14:textId="77777777" w:rsidR="00E3254B" w:rsidRPr="00E3254B" w:rsidRDefault="00E3254B" w:rsidP="00E3254B">
      <w:pPr>
        <w:numPr>
          <w:ilvl w:val="0"/>
          <w:numId w:val="8"/>
        </w:numPr>
      </w:pPr>
      <w:r w:rsidRPr="00E3254B">
        <w:t>Calculate absolute and percentage sensitivity.</w:t>
      </w:r>
    </w:p>
    <w:p w14:paraId="158914F5" w14:textId="77777777" w:rsidR="00E3254B" w:rsidRPr="00E3254B" w:rsidRDefault="00E3254B" w:rsidP="00E3254B">
      <w:pPr>
        <w:numPr>
          <w:ilvl w:val="0"/>
          <w:numId w:val="8"/>
        </w:numPr>
      </w:pPr>
      <w:r w:rsidRPr="00E3254B">
        <w:t>Visualize the sensitivity results.</w:t>
      </w:r>
    </w:p>
    <w:p w14:paraId="46F5C435" w14:textId="77777777" w:rsidR="00E3254B" w:rsidRPr="00E3254B" w:rsidRDefault="00E3254B" w:rsidP="00E3254B">
      <w:pPr>
        <w:numPr>
          <w:ilvl w:val="0"/>
          <w:numId w:val="8"/>
        </w:numPr>
      </w:pPr>
      <w:r w:rsidRPr="00E3254B">
        <w:t>Document key findings, limitations, and conclusions.</w:t>
      </w:r>
    </w:p>
    <w:p w14:paraId="5D7510D9" w14:textId="77777777" w:rsidR="00E3254B" w:rsidRPr="00E3254B" w:rsidRDefault="00E3254B" w:rsidP="00E3254B">
      <w:pPr>
        <w:rPr>
          <w:b/>
          <w:bCs/>
        </w:rPr>
      </w:pPr>
      <w:r w:rsidRPr="00E3254B">
        <w:rPr>
          <w:b/>
          <w:bCs/>
        </w:rPr>
        <w:t>Appendix B. Summary of Principal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8"/>
        <w:gridCol w:w="1403"/>
      </w:tblGrid>
      <w:tr w:rsidR="00E3254B" w:rsidRPr="00E3254B" w14:paraId="7F2F3745" w14:textId="77777777">
        <w:trPr>
          <w:tblCellSpacing w:w="15" w:type="dxa"/>
        </w:trPr>
        <w:tc>
          <w:tcPr>
            <w:tcW w:w="0" w:type="auto"/>
            <w:vAlign w:val="center"/>
            <w:hideMark/>
          </w:tcPr>
          <w:p w14:paraId="6F144EBD" w14:textId="77777777" w:rsidR="00E3254B" w:rsidRPr="00E3254B" w:rsidRDefault="00E3254B" w:rsidP="00E3254B">
            <w:pPr>
              <w:rPr>
                <w:b/>
                <w:bCs/>
              </w:rPr>
            </w:pPr>
            <w:r w:rsidRPr="00E3254B">
              <w:rPr>
                <w:b/>
                <w:bCs/>
              </w:rPr>
              <w:t>Measure</w:t>
            </w:r>
          </w:p>
        </w:tc>
        <w:tc>
          <w:tcPr>
            <w:tcW w:w="0" w:type="auto"/>
            <w:vAlign w:val="center"/>
            <w:hideMark/>
          </w:tcPr>
          <w:p w14:paraId="791D96CD" w14:textId="77777777" w:rsidR="00E3254B" w:rsidRPr="00E3254B" w:rsidRDefault="00E3254B" w:rsidP="00E3254B">
            <w:pPr>
              <w:rPr>
                <w:b/>
                <w:bCs/>
              </w:rPr>
            </w:pPr>
            <w:r w:rsidRPr="00E3254B">
              <w:rPr>
                <w:b/>
                <w:bCs/>
              </w:rPr>
              <w:t>Result</w:t>
            </w:r>
          </w:p>
        </w:tc>
      </w:tr>
      <w:tr w:rsidR="00E3254B" w:rsidRPr="00E3254B" w14:paraId="6A13405C" w14:textId="77777777">
        <w:trPr>
          <w:tblCellSpacing w:w="15" w:type="dxa"/>
        </w:trPr>
        <w:tc>
          <w:tcPr>
            <w:tcW w:w="0" w:type="auto"/>
            <w:vAlign w:val="center"/>
            <w:hideMark/>
          </w:tcPr>
          <w:p w14:paraId="51685B8F" w14:textId="77777777" w:rsidR="00E3254B" w:rsidRPr="00E3254B" w:rsidRDefault="00E3254B" w:rsidP="00E3254B">
            <w:r w:rsidRPr="00E3254B">
              <w:t>Base-case wind LCOE</w:t>
            </w:r>
          </w:p>
        </w:tc>
        <w:tc>
          <w:tcPr>
            <w:tcW w:w="0" w:type="auto"/>
            <w:vAlign w:val="center"/>
            <w:hideMark/>
          </w:tcPr>
          <w:p w14:paraId="2B8D62C7" w14:textId="77777777" w:rsidR="00E3254B" w:rsidRPr="00E3254B" w:rsidRDefault="00E3254B" w:rsidP="00E3254B">
            <w:r w:rsidRPr="00E3254B">
              <w:t>$14.53/MWh</w:t>
            </w:r>
          </w:p>
        </w:tc>
      </w:tr>
      <w:tr w:rsidR="00E3254B" w:rsidRPr="00E3254B" w14:paraId="5F6A0AA6" w14:textId="77777777">
        <w:trPr>
          <w:tblCellSpacing w:w="15" w:type="dxa"/>
        </w:trPr>
        <w:tc>
          <w:tcPr>
            <w:tcW w:w="0" w:type="auto"/>
            <w:vAlign w:val="center"/>
            <w:hideMark/>
          </w:tcPr>
          <w:p w14:paraId="7F9901FA" w14:textId="77777777" w:rsidR="00E3254B" w:rsidRPr="00E3254B" w:rsidRDefault="00E3254B" w:rsidP="00E3254B">
            <w:r w:rsidRPr="00E3254B">
              <w:t>Base-case solar LCOE</w:t>
            </w:r>
          </w:p>
        </w:tc>
        <w:tc>
          <w:tcPr>
            <w:tcW w:w="0" w:type="auto"/>
            <w:vAlign w:val="center"/>
            <w:hideMark/>
          </w:tcPr>
          <w:p w14:paraId="2BEDDDFD" w14:textId="77777777" w:rsidR="00E3254B" w:rsidRPr="00E3254B" w:rsidRDefault="00E3254B" w:rsidP="00E3254B">
            <w:r w:rsidRPr="00E3254B">
              <w:t>$24.94/MWh</w:t>
            </w:r>
          </w:p>
        </w:tc>
      </w:tr>
      <w:tr w:rsidR="00E3254B" w:rsidRPr="00E3254B" w14:paraId="331CB5AD" w14:textId="77777777">
        <w:trPr>
          <w:tblCellSpacing w:w="15" w:type="dxa"/>
        </w:trPr>
        <w:tc>
          <w:tcPr>
            <w:tcW w:w="0" w:type="auto"/>
            <w:vAlign w:val="center"/>
            <w:hideMark/>
          </w:tcPr>
          <w:p w14:paraId="0227770C" w14:textId="77777777" w:rsidR="00E3254B" w:rsidRPr="00E3254B" w:rsidRDefault="00E3254B" w:rsidP="00E3254B">
            <w:r w:rsidRPr="00E3254B">
              <w:t>Absolute LCOE difference</w:t>
            </w:r>
          </w:p>
        </w:tc>
        <w:tc>
          <w:tcPr>
            <w:tcW w:w="0" w:type="auto"/>
            <w:vAlign w:val="center"/>
            <w:hideMark/>
          </w:tcPr>
          <w:p w14:paraId="3F0EBAB0" w14:textId="77777777" w:rsidR="00E3254B" w:rsidRPr="00E3254B" w:rsidRDefault="00E3254B" w:rsidP="00E3254B">
            <w:r w:rsidRPr="00E3254B">
              <w:t>$10.41/MWh</w:t>
            </w:r>
          </w:p>
        </w:tc>
      </w:tr>
      <w:tr w:rsidR="00E3254B" w:rsidRPr="00E3254B" w14:paraId="0F763F2F" w14:textId="77777777">
        <w:trPr>
          <w:tblCellSpacing w:w="15" w:type="dxa"/>
        </w:trPr>
        <w:tc>
          <w:tcPr>
            <w:tcW w:w="0" w:type="auto"/>
            <w:vAlign w:val="center"/>
            <w:hideMark/>
          </w:tcPr>
          <w:p w14:paraId="6F72801E" w14:textId="77777777" w:rsidR="00E3254B" w:rsidRPr="00E3254B" w:rsidRDefault="00E3254B" w:rsidP="00E3254B">
            <w:r w:rsidRPr="00E3254B">
              <w:t>Wind LCOE relative to solar</w:t>
            </w:r>
          </w:p>
        </w:tc>
        <w:tc>
          <w:tcPr>
            <w:tcW w:w="0" w:type="auto"/>
            <w:vAlign w:val="center"/>
            <w:hideMark/>
          </w:tcPr>
          <w:p w14:paraId="16A9E9AD" w14:textId="77777777" w:rsidR="00E3254B" w:rsidRPr="00E3254B" w:rsidRDefault="00E3254B" w:rsidP="00E3254B">
            <w:r w:rsidRPr="00E3254B">
              <w:t>41.7% lower</w:t>
            </w:r>
          </w:p>
        </w:tc>
      </w:tr>
      <w:tr w:rsidR="00E3254B" w:rsidRPr="00E3254B" w14:paraId="029CBD99" w14:textId="77777777">
        <w:trPr>
          <w:tblCellSpacing w:w="15" w:type="dxa"/>
        </w:trPr>
        <w:tc>
          <w:tcPr>
            <w:tcW w:w="0" w:type="auto"/>
            <w:vAlign w:val="center"/>
            <w:hideMark/>
          </w:tcPr>
          <w:p w14:paraId="46629D6E" w14:textId="77777777" w:rsidR="00E3254B" w:rsidRPr="00E3254B" w:rsidRDefault="00E3254B" w:rsidP="00E3254B">
            <w:r w:rsidRPr="00E3254B">
              <w:t>Wind capacity factor</w:t>
            </w:r>
          </w:p>
        </w:tc>
        <w:tc>
          <w:tcPr>
            <w:tcW w:w="0" w:type="auto"/>
            <w:vAlign w:val="center"/>
            <w:hideMark/>
          </w:tcPr>
          <w:p w14:paraId="503E5702" w14:textId="77777777" w:rsidR="00E3254B" w:rsidRPr="00E3254B" w:rsidRDefault="00E3254B" w:rsidP="00E3254B">
            <w:r w:rsidRPr="00E3254B">
              <w:t>46.52%</w:t>
            </w:r>
          </w:p>
        </w:tc>
      </w:tr>
      <w:tr w:rsidR="00E3254B" w:rsidRPr="00E3254B" w14:paraId="022CC7B1" w14:textId="77777777">
        <w:trPr>
          <w:tblCellSpacing w:w="15" w:type="dxa"/>
        </w:trPr>
        <w:tc>
          <w:tcPr>
            <w:tcW w:w="0" w:type="auto"/>
            <w:vAlign w:val="center"/>
            <w:hideMark/>
          </w:tcPr>
          <w:p w14:paraId="52225033" w14:textId="77777777" w:rsidR="00E3254B" w:rsidRPr="00E3254B" w:rsidRDefault="00E3254B" w:rsidP="00E3254B">
            <w:r w:rsidRPr="00E3254B">
              <w:t>Solar capacity factor</w:t>
            </w:r>
          </w:p>
        </w:tc>
        <w:tc>
          <w:tcPr>
            <w:tcW w:w="0" w:type="auto"/>
            <w:vAlign w:val="center"/>
            <w:hideMark/>
          </w:tcPr>
          <w:p w14:paraId="096BA886" w14:textId="77777777" w:rsidR="00E3254B" w:rsidRPr="00E3254B" w:rsidRDefault="00E3254B" w:rsidP="00E3254B">
            <w:r w:rsidRPr="00E3254B">
              <w:t>28.49%</w:t>
            </w:r>
          </w:p>
        </w:tc>
      </w:tr>
      <w:tr w:rsidR="00E3254B" w:rsidRPr="00E3254B" w14:paraId="5FF53C76" w14:textId="77777777">
        <w:trPr>
          <w:tblCellSpacing w:w="15" w:type="dxa"/>
        </w:trPr>
        <w:tc>
          <w:tcPr>
            <w:tcW w:w="0" w:type="auto"/>
            <w:vAlign w:val="center"/>
            <w:hideMark/>
          </w:tcPr>
          <w:p w14:paraId="0AF58ED2" w14:textId="77777777" w:rsidR="00E3254B" w:rsidRPr="00E3254B" w:rsidRDefault="00E3254B" w:rsidP="00E3254B">
            <w:r w:rsidRPr="00E3254B">
              <w:t>Wind LCOE increase under 20-year recovery</w:t>
            </w:r>
          </w:p>
        </w:tc>
        <w:tc>
          <w:tcPr>
            <w:tcW w:w="0" w:type="auto"/>
            <w:vAlign w:val="center"/>
            <w:hideMark/>
          </w:tcPr>
          <w:p w14:paraId="0974C6A4" w14:textId="77777777" w:rsidR="00E3254B" w:rsidRPr="00E3254B" w:rsidRDefault="00E3254B" w:rsidP="00E3254B">
            <w:r w:rsidRPr="00E3254B">
              <w:t>11.22%</w:t>
            </w:r>
          </w:p>
        </w:tc>
      </w:tr>
      <w:tr w:rsidR="00E3254B" w:rsidRPr="00E3254B" w14:paraId="200E0AE9" w14:textId="77777777">
        <w:trPr>
          <w:tblCellSpacing w:w="15" w:type="dxa"/>
        </w:trPr>
        <w:tc>
          <w:tcPr>
            <w:tcW w:w="0" w:type="auto"/>
            <w:vAlign w:val="center"/>
            <w:hideMark/>
          </w:tcPr>
          <w:p w14:paraId="5E1D62F8" w14:textId="77777777" w:rsidR="00E3254B" w:rsidRPr="00E3254B" w:rsidRDefault="00E3254B" w:rsidP="00E3254B">
            <w:r w:rsidRPr="00E3254B">
              <w:t>Solar LCOE increase under 20-year recovery</w:t>
            </w:r>
          </w:p>
        </w:tc>
        <w:tc>
          <w:tcPr>
            <w:tcW w:w="0" w:type="auto"/>
            <w:vAlign w:val="center"/>
            <w:hideMark/>
          </w:tcPr>
          <w:p w14:paraId="286AB0D1" w14:textId="77777777" w:rsidR="00E3254B" w:rsidRPr="00E3254B" w:rsidRDefault="00E3254B" w:rsidP="00E3254B">
            <w:r w:rsidRPr="00E3254B">
              <w:t>17.84%</w:t>
            </w:r>
          </w:p>
        </w:tc>
      </w:tr>
    </w:tbl>
    <w:p w14:paraId="51CE763A" w14:textId="74369A69" w:rsidR="00AA4478" w:rsidRDefault="00E3254B">
      <w:r w:rsidRPr="00E3254B">
        <w:rPr>
          <w:b/>
          <w:bCs/>
        </w:rPr>
        <w:t>Overall assessment:</w:t>
      </w:r>
      <w:r w:rsidRPr="00E3254B">
        <w:t xml:space="preserve"> The project provides a concise, reproducible comparison of renewable generation economics and demonstrates core skills in energy data preparation, quantitative analysis, sensitivity testing, visualization, and analytical reporting.</w:t>
      </w:r>
    </w:p>
    <w:sectPr w:rsidR="00AA4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0BF"/>
    <w:multiLevelType w:val="multilevel"/>
    <w:tmpl w:val="763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5655C"/>
    <w:multiLevelType w:val="multilevel"/>
    <w:tmpl w:val="861A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C43E3"/>
    <w:multiLevelType w:val="multilevel"/>
    <w:tmpl w:val="43A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0352D"/>
    <w:multiLevelType w:val="multilevel"/>
    <w:tmpl w:val="762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A3D78"/>
    <w:multiLevelType w:val="multilevel"/>
    <w:tmpl w:val="AD4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01E0F"/>
    <w:multiLevelType w:val="multilevel"/>
    <w:tmpl w:val="A73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40933"/>
    <w:multiLevelType w:val="multilevel"/>
    <w:tmpl w:val="230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76D71"/>
    <w:multiLevelType w:val="multilevel"/>
    <w:tmpl w:val="C506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094569">
    <w:abstractNumId w:val="5"/>
  </w:num>
  <w:num w:numId="2" w16cid:durableId="313460435">
    <w:abstractNumId w:val="1"/>
  </w:num>
  <w:num w:numId="3" w16cid:durableId="1372805888">
    <w:abstractNumId w:val="2"/>
  </w:num>
  <w:num w:numId="4" w16cid:durableId="1833568703">
    <w:abstractNumId w:val="0"/>
  </w:num>
  <w:num w:numId="5" w16cid:durableId="446044113">
    <w:abstractNumId w:val="4"/>
  </w:num>
  <w:num w:numId="6" w16cid:durableId="584338441">
    <w:abstractNumId w:val="6"/>
  </w:num>
  <w:num w:numId="7" w16cid:durableId="369720424">
    <w:abstractNumId w:val="3"/>
  </w:num>
  <w:num w:numId="8" w16cid:durableId="1593471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F5"/>
    <w:rsid w:val="00254442"/>
    <w:rsid w:val="009957F5"/>
    <w:rsid w:val="00AA4478"/>
    <w:rsid w:val="00C345C6"/>
    <w:rsid w:val="00E3254B"/>
    <w:rsid w:val="00E637C5"/>
    <w:rsid w:val="00E84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F897"/>
  <w15:chartTrackingRefBased/>
  <w15:docId w15:val="{A2EC7AB9-3692-4D3A-96FA-947DD2F2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7F5"/>
    <w:rPr>
      <w:rFonts w:eastAsiaTheme="majorEastAsia" w:cstheme="majorBidi"/>
      <w:color w:val="272727" w:themeColor="text1" w:themeTint="D8"/>
    </w:rPr>
  </w:style>
  <w:style w:type="paragraph" w:styleId="Title">
    <w:name w:val="Title"/>
    <w:basedOn w:val="Normal"/>
    <w:next w:val="Normal"/>
    <w:link w:val="TitleChar"/>
    <w:uiPriority w:val="10"/>
    <w:qFormat/>
    <w:rsid w:val="00995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7F5"/>
    <w:pPr>
      <w:spacing w:before="160"/>
      <w:jc w:val="center"/>
    </w:pPr>
    <w:rPr>
      <w:i/>
      <w:iCs/>
      <w:color w:val="404040" w:themeColor="text1" w:themeTint="BF"/>
    </w:rPr>
  </w:style>
  <w:style w:type="character" w:customStyle="1" w:styleId="QuoteChar">
    <w:name w:val="Quote Char"/>
    <w:basedOn w:val="DefaultParagraphFont"/>
    <w:link w:val="Quote"/>
    <w:uiPriority w:val="29"/>
    <w:rsid w:val="009957F5"/>
    <w:rPr>
      <w:i/>
      <w:iCs/>
      <w:color w:val="404040" w:themeColor="text1" w:themeTint="BF"/>
    </w:rPr>
  </w:style>
  <w:style w:type="paragraph" w:styleId="ListParagraph">
    <w:name w:val="List Paragraph"/>
    <w:basedOn w:val="Normal"/>
    <w:uiPriority w:val="34"/>
    <w:qFormat/>
    <w:rsid w:val="009957F5"/>
    <w:pPr>
      <w:ind w:left="720"/>
      <w:contextualSpacing/>
    </w:pPr>
  </w:style>
  <w:style w:type="character" w:styleId="IntenseEmphasis">
    <w:name w:val="Intense Emphasis"/>
    <w:basedOn w:val="DefaultParagraphFont"/>
    <w:uiPriority w:val="21"/>
    <w:qFormat/>
    <w:rsid w:val="009957F5"/>
    <w:rPr>
      <w:i/>
      <w:iCs/>
      <w:color w:val="0F4761" w:themeColor="accent1" w:themeShade="BF"/>
    </w:rPr>
  </w:style>
  <w:style w:type="paragraph" w:styleId="IntenseQuote">
    <w:name w:val="Intense Quote"/>
    <w:basedOn w:val="Normal"/>
    <w:next w:val="Normal"/>
    <w:link w:val="IntenseQuoteChar"/>
    <w:uiPriority w:val="30"/>
    <w:qFormat/>
    <w:rsid w:val="00995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7F5"/>
    <w:rPr>
      <w:i/>
      <w:iCs/>
      <w:color w:val="0F4761" w:themeColor="accent1" w:themeShade="BF"/>
    </w:rPr>
  </w:style>
  <w:style w:type="character" w:styleId="IntenseReference">
    <w:name w:val="Intense Reference"/>
    <w:basedOn w:val="DefaultParagraphFont"/>
    <w:uiPriority w:val="32"/>
    <w:qFormat/>
    <w:rsid w:val="00995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3508</Words>
  <Characters>20000</Characters>
  <Application>Microsoft Office Word</Application>
  <DocSecurity>0</DocSecurity>
  <Lines>166</Lines>
  <Paragraphs>46</Paragraphs>
  <ScaleCrop>false</ScaleCrop>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chauhan</dc:creator>
  <cp:keywords/>
  <dc:description/>
  <cp:lastModifiedBy>Nikhil chauhan</cp:lastModifiedBy>
  <cp:revision>2</cp:revision>
  <dcterms:created xsi:type="dcterms:W3CDTF">2026-10-14T11:45:00Z</dcterms:created>
  <dcterms:modified xsi:type="dcterms:W3CDTF">2026-10-14T11:45:00Z</dcterms:modified>
</cp:coreProperties>
</file>