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4535"/>
      </w:tblGrid>
      <w:tr>
        <w:tc>
          <w:tcPr>
            <w:tcW w:type="dxa" w:w="3061"/>
          </w:tcPr>
          <w:p>
            <w:pPr>
              <w:spacing w:after="0"/>
              <w:jc w:val="center"/>
            </w:pPr>
            <w:r/>
            <w:r>
              <w:rPr>
                <w:b/>
                <w:i w:val="0"/>
                <w:sz w:val="26"/>
              </w:rPr>
              <w:t>CƠ QUAN A</w:t>
            </w:r>
          </w:p>
        </w:tc>
        <w:tc>
          <w:tcPr>
            <w:tcW w:type="dxa" w:w="6123"/>
          </w:tcPr>
          <w:p>
            <w:pPr>
              <w:spacing w:after="0"/>
              <w:jc w:val="center"/>
            </w:pPr>
            <w:r/>
            <w:r>
              <w:rPr>
                <w:b/>
                <w:i w:val="0"/>
                <w:sz w:val="26"/>
              </w:rPr>
              <w:t>CỘNG HÒA XÃ HỘI CHỦ NGHĨA VIỆT NAM</w:t>
            </w:r>
          </w:p>
          <w:p>
            <w:pPr>
              <w:spacing w:after="0"/>
              <w:jc w:val="center"/>
            </w:pPr>
            <w:r>
              <w:rPr>
                <w:b/>
                <w:i w:val="0"/>
                <w:sz w:val="28"/>
              </w:rPr>
              <w:t>Độc lập - Tự do - Hạnh phúc</w:t>
            </w:r>
          </w:p>
        </w:tc>
      </w:tr>
      <w:tr>
        <w:tc>
          <w:tcPr>
            <w:tcW w:type="dxa" w:w="3061"/>
          </w:tcPr>
          <w:p>
            <w:pPr>
              <w:spacing w:after="0"/>
              <w:jc w:val="center"/>
            </w:pPr>
            <w:r/>
            <w:r>
              <w:rPr>
                <w:b w:val="0"/>
                <w:i w:val="0"/>
                <w:sz w:val="26"/>
              </w:rPr>
              <w:t>Số:      /BC-CQA</w:t>
            </w:r>
          </w:p>
        </w:tc>
        <w:tc>
          <w:tcPr>
            <w:tcW w:type="dxa" w:w="6123"/>
          </w:tcPr>
          <w:p>
            <w:pPr>
              <w:spacing w:after="0"/>
              <w:jc w:val="center"/>
            </w:pPr>
            <w:r/>
            <w:r>
              <w:rPr>
                <w:b w:val="0"/>
                <w:i/>
                <w:sz w:val="28"/>
              </w:rPr>
              <w:t>Quảng Ngãi, ngày      tháng 10 năm 2026</w:t>
            </w:r>
          </w:p>
        </w:tc>
      </w:tr>
    </w:tbl>
    <w:p>
      <w:pPr>
        <w:spacing w:after="0" w:before="0"/>
        <w:ind w:firstLine="720"/>
        <w:jc w:val="both"/>
      </w:pPr>
      <w:r>
        <w:rPr>
          <w:b w:val="0"/>
          <w:i w:val="0"/>
          <w:sz w:val="28"/>
        </w:rPr>
      </w:r>
    </w:p>
    <w:p>
      <w:pPr>
        <w:spacing w:after="0" w:before="0"/>
        <w:jc w:val="center"/>
      </w:pPr>
      <w:r>
        <w:rPr>
          <w:b/>
          <w:i w:val="0"/>
          <w:sz w:val="28"/>
        </w:rPr>
        <w:t>BÁO CÁO</w:t>
      </w:r>
    </w:p>
    <w:p>
      <w:pPr>
        <w:spacing w:after="0" w:before="0"/>
        <w:jc w:val="center"/>
      </w:pPr>
      <w:r>
        <w:rPr>
          <w:b/>
          <w:i w:val="0"/>
          <w:sz w:val="28"/>
        </w:rPr>
        <w:t>Kết quả công tác tháng 9, nhiệm vụ trọng tâm tháng 10 năm 2026</w:t>
      </w:r>
    </w:p>
    <w:p>
      <w:pPr>
        <w:spacing w:after="240" w:before="0" w:line="80" w:lineRule="exact"/>
        <w:ind w:left="3118" w:right="3118"/>
        <w:pBdr>
          <w:bottom w:val="single" w:sz="6" w:space="1" w:color="000000"/>
        </w:pBdr>
      </w:pPr>
    </w:p>
    <w:p>
      <w:pPr>
        <w:spacing w:after="120" w:before="0"/>
        <w:jc w:val="center"/>
      </w:pPr>
      <w:r>
        <w:rPr>
          <w:b w:val="0"/>
          <w:i/>
          <w:sz w:val="24"/>
        </w:rPr>
        <w:t>(DỰ THẢO do công cụ tổng hợp từ báo cáo của 06 đơn vị; các chỗ đánh dấu [CẦN XÁC NHẬN] phải được kiểm tra trước khi trình)</w:t>
      </w:r>
    </w:p>
    <w:p>
      <w:pPr>
        <w:spacing w:after="120" w:before="0"/>
        <w:ind w:firstLine="720"/>
        <w:jc w:val="both"/>
      </w:pPr>
      <w:r>
        <w:rPr>
          <w:b w:val="0"/>
          <w:i w:val="0"/>
          <w:sz w:val="28"/>
        </w:rPr>
        <w:t>Thực hiện Kế hoạch công tác năm 2026, Kế hoạch công tác quý III/2026 và Kế hoạch số 270/KH-CQA ngày 28/8/2026, Cơ quan A báo cáo kết quả công tác tháng 9, nhiệm vụ trọng tâm tháng 10 năm 2026 như sau:</w:t>
      </w:r>
    </w:p>
    <w:p>
      <w:pPr>
        <w:spacing w:after="120" w:before="0"/>
        <w:ind w:firstLine="720"/>
        <w:jc w:val="both"/>
      </w:pPr>
      <w:r>
        <w:rPr>
          <w:b/>
          <w:i w:val="0"/>
          <w:sz w:val="28"/>
        </w:rPr>
        <w:t>I. KẾT QUẢ THỰC HIỆN NHIỆM VỤ THÁNG 9</w:t>
      </w:r>
    </w:p>
    <w:p>
      <w:pPr>
        <w:spacing w:after="120" w:before="0"/>
        <w:ind w:firstLine="720"/>
        <w:jc w:val="both"/>
      </w:pPr>
      <w:r>
        <w:rPr>
          <w:b w:val="0"/>
          <w:i w:val="0"/>
          <w:sz w:val="28"/>
        </w:rPr>
        <w:t>Kế hoạch tháng 9 có 24 nhiệm vụ. Theo báo cáo của 06 đơn vị, 21 nhiệm vụ có kết quả; 03 nhiệm vụ chưa có thông tin trong báo cáo đơn vị [CẦN XÁC NHẬN]. Kết quả theo từng lĩnh vực:</w:t>
      </w:r>
    </w:p>
    <w:p>
      <w:pPr>
        <w:spacing w:after="120" w:before="0"/>
        <w:ind w:firstLine="720"/>
        <w:jc w:val="both"/>
      </w:pPr>
      <w:r>
        <w:rPr>
          <w:b/>
          <w:i w:val="0"/>
          <w:sz w:val="28"/>
        </w:rPr>
        <w:t>1. Thực hiện mục tiêu phát triển kinh tế - xã hội và nhiệm vụ chính trị được giao</w:t>
      </w:r>
    </w:p>
    <w:p>
      <w:pPr>
        <w:spacing w:after="120" w:before="0"/>
        <w:ind w:firstLine="720"/>
        <w:jc w:val="both"/>
      </w:pPr>
      <w:r>
        <w:rPr>
          <w:b w:val="0"/>
          <w:i w:val="0"/>
          <w:sz w:val="28"/>
        </w:rPr>
        <w:t>Tổng hợp báo cáo kết quả công tác quý III/2026 (Báo cáo số 318/BC-CQA ngày 24/9/2026) (nguồn: Báo cáo của Văn phòng); Tổ chức giao ban tháng 9, ban hành Thông báo kết luận số 301/TB-CQA ngày 09/9/2026 (nguồn: Báo cáo của Văn phòng); Tổ chức 02 lớp bồi dưỡng kỹ năng soạn thảo văn bản, 112 lượt người tham dự [CẦN XÁC NHẬN: Số liệu KHÔNG thống nhất giữa các đơn vị: 112 và 120 lượt người — đề nghị xác minh] (nguồn: Báo cáo của Phòng Tổ chức cán bộ); Lập báo cáo tài chính quý III/2026 (nguồn: Báo cáo của Phòng Kế hoạch - Tài chính); Rà soát, điều chỉnh dự toán chi thường xuyên (Tờ trình số 44/TTr-KHTC ngày 18/9/2026) (nguồn: Báo cáo của Phòng Kế hoạch - Tài chính); Thẩm định hồ sơ chuyên môn theo đề nghị của cơ sở: 12/14 hồ sơ (nguồn: Báo cáo của Phòng Nghiệp vụ 1); Báo cáo chuyên đề 9 tháng thuộc lĩnh vực (nguồn: Báo cáo của Phòng Nghiệp vụ 1); Hướng dẫn nghiệp vụ cho cơ sở: 02 công văn (nguồn: Báo cáo của Phòng Nghiệp vụ 2); Sơ kết 9 tháng thực hiện chương trình phối hợp (nguồn: Báo cáo của Phòng Nghiệp vụ 2).</w:t>
      </w:r>
    </w:p>
    <w:p>
      <w:pPr>
        <w:spacing w:after="120" w:before="0"/>
        <w:ind w:firstLine="720"/>
        <w:jc w:val="both"/>
      </w:pPr>
      <w:r>
        <w:rPr>
          <w:b/>
          <w:i w:val="0"/>
          <w:sz w:val="28"/>
        </w:rPr>
        <w:t>2. Hoàn thiện thể chế, đẩy mạnh phân cấp, phân quyền gắn với kiểm tra, giám sát</w:t>
      </w:r>
    </w:p>
    <w:p>
      <w:pPr>
        <w:spacing w:after="120" w:before="0"/>
        <w:ind w:firstLine="720"/>
        <w:jc w:val="both"/>
      </w:pPr>
      <w:r>
        <w:rPr>
          <w:b w:val="0"/>
          <w:i w:val="0"/>
          <w:sz w:val="28"/>
        </w:rPr>
        <w:t>Nhiệm vụ “Ban hành Quy chế văn thư, lưu trữ (sửa đổi)” (Văn phòng chủ trì): Chưa có thông tin trong báo cáo đơn vị [CẦN XÁC NHẬN: Có thể đã thực hiện: Quyết định số 215/QĐ-CQA ngày 24/09/2026 — Quyết định ban hành Quy chế văn thư, lưu trữ của Cơ quan A (sửa đổi) (đề nghị đơn vị xác nhận)]; Trình ban hành Kế hoạch tuyển dụng viên chức năm 2026 (đã trình, đang chờ phê duyệt) (nguồn: Báo cáo của Phòng Tổ chức cán bộ); Nhiệm vụ “Kiểm tra chuyên môn tại đơn vị cơ sở B” (Phòng Nghiệp vụ 1 chủ trì): Chưa có thông tin trong báo cáo đơn vị [CẦN XÁC NHẬN: Có thể đã thực hiện: Kế hoạch số 330/KH-CQA ngày 02/10/2026 — Kế hoạch kiểm tra chuyên môn tại các đơn vị cơ sở quý IV/2026 (đề nghị đơn vị xác nhận)]; Góp ý dự thảo văn bản của cấp trên: 03 công văn (nguồn: Báo cáo của Phòng Nghiệp vụ 2).</w:t>
      </w:r>
    </w:p>
    <w:p>
      <w:pPr>
        <w:spacing w:after="120" w:before="0"/>
        <w:ind w:firstLine="720"/>
        <w:jc w:val="both"/>
      </w:pPr>
      <w:r>
        <w:rPr>
          <w:b/>
          <w:i w:val="0"/>
          <w:sz w:val="28"/>
        </w:rPr>
        <w:t>3. Thúc đẩy phát triển khoa học, công nghệ, đổi mới sáng tạo và chuyển đổi số</w:t>
      </w:r>
    </w:p>
    <w:p>
      <w:pPr>
        <w:spacing w:after="120" w:before="0"/>
        <w:ind w:firstLine="720"/>
        <w:jc w:val="both"/>
      </w:pPr>
      <w:r>
        <w:rPr>
          <w:b w:val="0"/>
          <w:i w:val="0"/>
          <w:sz w:val="28"/>
        </w:rPr>
        <w:t>Ban hành Kế hoạch bảo đảm an toàn thông tin tháng cao điểm (Kế hoạch số 305/KH-CQA ngày 14/9/2026) [CẦN XÁC NHẬN: 2 đơn vị cùng báo cáo là kết quả của mình: Phòng Thông tin - Chuyển đổi số, Văn phòng — kế hoạch giao Phòng Thông tin - Chuyển đổi số chủ trì; chỉ tính 01 lần] (nguồn: Báo cáo của Phòng Thông tin - Chuyển đổi số); Nhiệm vụ “Đánh giá mức độ chuyển đổi số quý III/2026” (Phòng Thông tin - Chuyển đổi số chủ trì): Chưa có thông tin trong báo cáo đơn vị [CẦN XÁC NHẬN: Không thấy văn bản liên quan trên Hệ thống — đề nghị đơn vị báo cáo bổ sung]; Triển khai chữ ký số cho lãnh đạo phòng: 10/12 chứng thư số (nguồn: Báo cáo của Phòng Thông tin - Chuyển đổi số); Hỗ trợ kỹ thuật, bảo trì thiết bị: 23 lượt (nguồn: Báo cáo của Phòng Thông tin - Chuyển đổi số).</w:t>
      </w:r>
    </w:p>
    <w:p>
      <w:pPr>
        <w:spacing w:after="120" w:before="0"/>
        <w:ind w:firstLine="720"/>
        <w:jc w:val="both"/>
      </w:pPr>
      <w:r>
        <w:rPr>
          <w:b/>
          <w:i w:val="0"/>
          <w:sz w:val="28"/>
        </w:rPr>
        <w:t>4. Xây dựng Đảng và hệ thống chính trị trong sạch, vững mạnh</w:t>
      </w:r>
    </w:p>
    <w:p>
      <w:pPr>
        <w:spacing w:after="120" w:before="0"/>
        <w:ind w:firstLine="720"/>
        <w:jc w:val="both"/>
      </w:pPr>
      <w:r>
        <w:rPr>
          <w:b w:val="0"/>
          <w:i w:val="0"/>
          <w:sz w:val="28"/>
        </w:rPr>
        <w:t>Sinh hoạt chuyên đề quý III về học tập và làm theo tư tưởng, đạo đức, phong cách Hồ Chí Minh (nguồn: Báo cáo của Phòng Tổ chức cán bộ); Công khai dự toán điều chỉnh (nguồn: Báo cáo của Phòng Kế hoạch - Tài chính); Đăng 04 tin, bài về xây dựng Đảng trên cổng thông tin (nguồn: Báo cáo của Phòng Thông tin - Chuyển đổi số).</w:t>
      </w:r>
    </w:p>
    <w:p>
      <w:pPr>
        <w:spacing w:after="120" w:before="0"/>
        <w:ind w:firstLine="720"/>
        <w:jc w:val="both"/>
      </w:pPr>
      <w:r>
        <w:rPr>
          <w:b/>
          <w:i w:val="0"/>
          <w:sz w:val="28"/>
        </w:rPr>
        <w:t>5. Phát triển văn hóa, con người, bảo đảm an sinh xã hội</w:t>
      </w:r>
    </w:p>
    <w:p>
      <w:pPr>
        <w:spacing w:after="120" w:before="0"/>
        <w:ind w:firstLine="720"/>
        <w:jc w:val="both"/>
      </w:pPr>
      <w:r>
        <w:rPr>
          <w:b w:val="0"/>
          <w:i w:val="0"/>
          <w:sz w:val="28"/>
        </w:rPr>
        <w:t>Xét nâng bậc lương thường xuyên đợt 2 cho 08 trường hợp (nguồn: Báo cáo của Phòng Tổ chức cán bộ); Chi trả lương, phụ cấp tháng 9 (nguồn: Báo cáo của Phòng Kế hoạch - Tài chính); Khảo sát nhu cầu hỗ trợ của người dân tại 02 địa bàn (nguồn: Báo cáo của Phòng Nghiệp vụ 2).</w:t>
      </w:r>
    </w:p>
    <w:p>
      <w:pPr>
        <w:spacing w:after="120" w:before="0"/>
        <w:ind w:firstLine="720"/>
        <w:jc w:val="both"/>
      </w:pPr>
      <w:r>
        <w:rPr>
          <w:b/>
          <w:i w:val="0"/>
          <w:sz w:val="28"/>
        </w:rPr>
        <w:t>6. Củng cố quốc phòng, an ninh, giữ vững ổn định chính trị - xã hội</w:t>
      </w:r>
    </w:p>
    <w:p>
      <w:pPr>
        <w:spacing w:after="120" w:before="0"/>
        <w:ind w:firstLine="720"/>
        <w:jc w:val="both"/>
      </w:pPr>
      <w:r>
        <w:rPr>
          <w:b w:val="0"/>
          <w:i w:val="0"/>
          <w:sz w:val="28"/>
        </w:rPr>
        <w:t>Giải quyết đơn thư, phản ánh, kiến nghị: 05/05 đơn (nguồn: Báo cáo của Phòng Nghiệp vụ 1).</w:t>
      </w:r>
    </w:p>
    <w:p>
      <w:pPr>
        <w:spacing w:after="120" w:before="0"/>
        <w:ind w:firstLine="720"/>
        <w:jc w:val="both"/>
      </w:pPr>
      <w:r>
        <w:rPr>
          <w:b/>
          <w:i w:val="0"/>
          <w:sz w:val="28"/>
        </w:rPr>
        <w:t>II. TỒN TẠI, HẠN CHẾ</w:t>
      </w:r>
    </w:p>
    <w:p>
      <w:pPr>
        <w:spacing w:after="120" w:before="0"/>
        <w:ind w:firstLine="720"/>
        <w:jc w:val="both"/>
      </w:pPr>
      <w:r>
        <w:rPr>
          <w:b w:val="0"/>
          <w:i w:val="0"/>
          <w:sz w:val="28"/>
        </w:rPr>
        <w:t>Còn 03 nhiệm vụ trong kế hoạch tháng chưa được đơn vị báo cáo kết quả; một số nhiệm vụ hoàn thành chưa đủ khối lượng hoặc chậm tiến độ (thẩm định hồ sơ chuyên môn, triển khai chữ ký số, báo cáo tài chính quý III); Kế hoạch tuyển dụng viên chức năm 2026 đã trình, chưa được ban hành.</w:t>
      </w:r>
    </w:p>
    <w:p>
      <w:pPr>
        <w:spacing w:after="120" w:before="0"/>
        <w:ind w:firstLine="720"/>
        <w:jc w:val="both"/>
      </w:pPr>
      <w:r>
        <w:rPr>
          <w:b/>
          <w:i w:val="0"/>
          <w:sz w:val="28"/>
        </w:rPr>
        <w:t>III. NHIỆM VỤ TRỌNG TÂM THÁNG 10</w:t>
      </w:r>
    </w:p>
    <w:p>
      <w:pPr>
        <w:spacing w:after="120" w:before="0"/>
        <w:ind w:firstLine="720"/>
        <w:jc w:val="both"/>
      </w:pPr>
      <w:r>
        <w:rPr>
          <w:b w:val="0"/>
          <w:i w:val="0"/>
          <w:sz w:val="28"/>
        </w:rPr>
        <w:t>[CẦN BỔ SUNG từ Kế hoạch công tác quý IV/2026 sau khi được ban hành và từ Thông báo số 336/TB-CQA ngày 06/10/2026.]</w:t>
      </w:r>
    </w:p>
    <w:p>
      <w:pPr>
        <w:spacing w:after="120" w:before="0"/>
        <w:ind w:firstLine="720"/>
        <w:jc w:val="both"/>
      </w:pPr>
      <w:r>
        <w:rPr>
          <w:b w:val="0"/>
          <w:i w:val="0"/>
          <w:sz w:val="28"/>
        </w:rPr>
        <w:t>Trên đây là Báo cáo kết quả công tác tháng 9, nhiệm vụ trọng tâm tháng 10 năm 2026 của Cơ quan A./.</w:t>
      </w:r>
    </w:p>
    <w:tbl>
      <w:tblPr>
        <w:tblW w:type="auto" w:w="0"/>
        <w:tblLayout w:type="fixed"/>
        <w:tblLook w:firstColumn="1" w:firstRow="1" w:lastColumn="0" w:lastRow="0" w:noHBand="0" w:noVBand="1" w:val="04A0"/>
      </w:tblPr>
      <w:tblGrid>
        <w:gridCol w:w="4535"/>
        <w:gridCol w:w="4535"/>
      </w:tblGrid>
      <w:tr>
        <w:tc>
          <w:tcPr>
            <w:tcW w:type="dxa" w:w="3969"/>
          </w:tcPr>
          <w:p>
            <w:pPr>
              <w:spacing w:after="0"/>
              <w:jc w:val="left"/>
            </w:pPr>
            <w:r/>
            <w:r>
              <w:rPr>
                <w:b/>
                <w:i/>
                <w:sz w:val="24"/>
              </w:rPr>
              <w:t>Nơi nhận:</w:t>
            </w:r>
          </w:p>
          <w:p>
            <w:pPr>
              <w:spacing w:after="0"/>
              <w:jc w:val="left"/>
            </w:pPr>
            <w:r>
              <w:rPr>
                <w:b w:val="0"/>
                <w:i w:val="0"/>
                <w:sz w:val="22"/>
              </w:rPr>
              <w:t>- Cơ quan cấp trên (báo cáo);</w:t>
            </w:r>
          </w:p>
          <w:p>
            <w:pPr>
              <w:spacing w:after="0"/>
              <w:jc w:val="left"/>
            </w:pPr>
            <w:r>
              <w:rPr>
                <w:b w:val="0"/>
                <w:i w:val="0"/>
                <w:sz w:val="22"/>
              </w:rPr>
              <w:t>- Lãnh đạo cơ quan;</w:t>
            </w:r>
          </w:p>
          <w:p>
            <w:pPr>
              <w:spacing w:after="0"/>
              <w:jc w:val="left"/>
            </w:pPr>
            <w:r>
              <w:rPr>
                <w:b w:val="0"/>
                <w:i w:val="0"/>
                <w:sz w:val="22"/>
              </w:rPr>
              <w:t>- Các đơn vị trực thuộc;</w:t>
            </w:r>
          </w:p>
          <w:p>
            <w:pPr>
              <w:spacing w:after="0"/>
              <w:jc w:val="left"/>
            </w:pPr>
            <w:r>
              <w:rPr>
                <w:b w:val="0"/>
                <w:i w:val="0"/>
                <w:sz w:val="22"/>
              </w:rPr>
              <w:t>- Lưu: VT, VP.</w:t>
            </w:r>
          </w:p>
        </w:tc>
        <w:tc>
          <w:tcPr>
            <w:tcW w:type="dxa" w:w="5102"/>
          </w:tcPr>
          <w:p>
            <w:pPr>
              <w:spacing w:after="0"/>
              <w:jc w:val="center"/>
            </w:pPr>
            <w:r/>
            <w:r>
              <w:rPr>
                <w:b/>
                <w:i w:val="0"/>
                <w:sz w:val="28"/>
              </w:rPr>
              <w:t>THỦ TRƯỞNG CƠ QUAN</w:t>
            </w:r>
          </w:p>
          <w:p>
            <w:pPr>
              <w:spacing w:after="0"/>
              <w:jc w:val="center"/>
            </w:pPr>
            <w:r>
              <w:rPr>
                <w:b/>
                <w:i w:val="0"/>
                <w:sz w:val="28"/>
              </w:rPr>
            </w:r>
          </w:p>
          <w:p>
            <w:pPr>
              <w:spacing w:after="0"/>
              <w:jc w:val="center"/>
            </w:pPr>
            <w:r>
              <w:rPr>
                <w:b w:val="0"/>
                <w:i w:val="0"/>
                <w:sz w:val="28"/>
              </w:rPr>
            </w:r>
          </w:p>
          <w:p>
            <w:pPr>
              <w:spacing w:after="0"/>
              <w:jc w:val="center"/>
            </w:pPr>
            <w:r>
              <w:rPr>
                <w:b w:val="0"/>
                <w:i w:val="0"/>
                <w:sz w:val="28"/>
              </w:rPr>
            </w:r>
          </w:p>
          <w:p>
            <w:pPr>
              <w:spacing w:after="0"/>
              <w:jc w:val="center"/>
            </w:pPr>
            <w:r>
              <w:rPr>
                <w:b w:val="0"/>
                <w:i w:val="0"/>
                <w:sz w:val="28"/>
              </w:rPr>
            </w:r>
          </w:p>
          <w:p>
            <w:pPr>
              <w:spacing w:after="0"/>
              <w:jc w:val="center"/>
            </w:pPr>
            <w:r>
              <w:rPr>
                <w:b/>
                <w:i w:val="0"/>
                <w:sz w:val="28"/>
              </w:rPr>
            </w:r>
          </w:p>
        </w:tc>
      </w:tr>
    </w:tbl>
    <w:sectPr w:rsidR="00FC693F" w:rsidRPr="0006063C" w:rsidSect="00034616">
      <w:head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20"/>
      </w:rPr>
      <w:t>Dữ liệu giả định phục vụ trình diễn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