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8"/>
        </w:rPr>
        <w:t>PHIẾU ĐỀ XUẤT XIN Ý KIẾN</w:t>
      </w:r>
    </w:p>
    <w:p>
      <w:pPr>
        <w:spacing w:after="120"/>
        <w:jc w:val="center"/>
      </w:pPr>
      <w:r>
        <w:rPr>
          <w:b/>
          <w:i w:val="0"/>
          <w:sz w:val="28"/>
        </w:rPr>
        <w:t>Bổ sung cột Task_ID (mã nhiệm vụ) vào mẫu Phụ lục Ia, Ib, IIb, IIc kèm theo Thông báo số 736/TB-CĐKT ngày 25/6/2026</w:t>
      </w:r>
    </w:p>
    <w:p>
      <w:pPr>
        <w:spacing w:after="120"/>
        <w:jc w:val="center"/>
      </w:pPr>
      <w:r>
        <w:rPr>
          <w:b w:val="0"/>
          <w:i/>
          <w:sz w:val="24"/>
        </w:rPr>
        <w:t>(Tài liệu tham mưu nội bộ — không phải văn bản ban hành)</w:t>
      </w:r>
    </w:p>
    <w:p>
      <w:pPr>
        <w:spacing w:after="120"/>
        <w:jc w:val="both"/>
      </w:pPr>
      <w:r>
        <w:rPr>
          <w:b w:val="0"/>
          <w:i w:val="0"/>
          <w:sz w:val="28"/>
        </w:rPr>
        <w:t>Người đề xuất: [Cần điền họ tên, chức danh]      Ngày: 18/9/2026</w:t>
      </w:r>
    </w:p>
    <w:p>
      <w:pPr>
        <w:spacing w:after="120"/>
        <w:jc w:val="both"/>
      </w:pPr>
      <w:r>
        <w:rPr>
          <w:b/>
          <w:i w:val="0"/>
          <w:sz w:val="28"/>
        </w:rPr>
        <w:t>1. Vấn đề</w:t>
      </w:r>
    </w:p>
    <w:p>
      <w:pPr>
        <w:spacing w:after="120"/>
        <w:ind w:firstLine="720"/>
        <w:jc w:val="both"/>
      </w:pPr>
      <w:r>
        <w:rPr>
          <w:b w:val="0"/>
          <w:i w:val="0"/>
          <w:sz w:val="28"/>
        </w:rPr>
        <w:t>Mẫu kế hoạch (Phụ lục Ia, Ib) hiện không có cột mã nhiệm vụ, nên khi đối chiếu kế hoạch với báo cáo chỉ so khớp được gần đúng theo tên nhiệm vụ. Kết quả chạy thử kỳ tháng 8/2026: 7/19 nhiệm vụ đến hạn không đối chiếu được, trong đó có nhiệm vụ đã hoàn thành thực tế. Điều này làm sai lệch đánh giá tiến độ của đơn vị.</w:t>
      </w:r>
    </w:p>
    <w:p>
      <w:pPr>
        <w:spacing w:after="120"/>
        <w:jc w:val="both"/>
      </w:pPr>
      <w:r>
        <w:rPr>
          <w:b/>
          <w:i w:val="0"/>
          <w:sz w:val="28"/>
        </w:rPr>
        <w:t>2. Nội dung đề xuất</w:t>
      </w:r>
    </w:p>
    <w:p>
      <w:pPr>
        <w:spacing w:after="120"/>
        <w:ind w:firstLine="720"/>
        <w:jc w:val="both"/>
      </w:pPr>
      <w:r>
        <w:rPr>
          <w:b w:val="0"/>
          <w:i w:val="0"/>
          <w:sz w:val="28"/>
        </w:rPr>
        <w:t>Thêm một cột “Task_ID” vào cuối bảng của cả 4 mẫu, không chèn giữa bảng, để không làm thay đổi cách đọc các cột hiện có:</w:t>
      </w:r>
    </w:p>
    <w:tbl>
      <w:tblPr>
        <w:tblStyle w:val="TableGrid"/>
        <w:tblW w:type="auto" w:w="0"/>
        <w:tblLayout w:type="fixed"/>
        <w:tblLook w:firstColumn="1" w:firstRow="1" w:lastColumn="0" w:lastRow="0" w:noHBand="0" w:noVBand="1" w:val="04A0"/>
      </w:tblPr>
      <w:tblGrid>
        <w:gridCol w:w="3135"/>
        <w:gridCol w:w="3135"/>
        <w:gridCol w:w="3135"/>
      </w:tblGrid>
      <w:tr>
        <w:tc>
          <w:tcPr>
            <w:tcW w:type="dxa" w:w="3118"/>
          </w:tcPr>
          <w:p>
            <w:r/>
            <w:r>
              <w:rPr>
                <w:b/>
                <w:sz w:val="24"/>
              </w:rPr>
              <w:t>Phụ lục</w:t>
            </w:r>
          </w:p>
        </w:tc>
        <w:tc>
          <w:tcPr>
            <w:tcW w:type="dxa" w:w="2835"/>
          </w:tcPr>
          <w:p>
            <w:r/>
            <w:r>
              <w:rPr>
                <w:b/>
                <w:sz w:val="24"/>
              </w:rPr>
              <w:t>Hiện có</w:t>
            </w:r>
          </w:p>
        </w:tc>
        <w:tc>
          <w:tcPr>
            <w:tcW w:type="dxa" w:w="3118"/>
          </w:tcPr>
          <w:p>
            <w:r/>
            <w:r>
              <w:rPr>
                <w:b/>
                <w:sz w:val="24"/>
              </w:rPr>
              <w:t>Cột mới</w:t>
            </w:r>
          </w:p>
        </w:tc>
      </w:tr>
      <w:tr>
        <w:tc>
          <w:tcPr>
            <w:tcW w:type="dxa" w:w="3118"/>
          </w:tcPr>
          <w:p>
            <w:r/>
            <w:r>
              <w:rPr>
                <w:b w:val="0"/>
                <w:sz w:val="24"/>
              </w:rPr>
              <w:t>Ia – Kế hoạch quý</w:t>
            </w:r>
          </w:p>
        </w:tc>
        <w:tc>
          <w:tcPr>
            <w:tcW w:type="dxa" w:w="2835"/>
          </w:tcPr>
          <w:p>
            <w:r/>
            <w:r>
              <w:rPr>
                <w:b w:val="0"/>
                <w:sz w:val="24"/>
              </w:rPr>
              <w:t>11 cột (A–K)</w:t>
            </w:r>
          </w:p>
        </w:tc>
        <w:tc>
          <w:tcPr>
            <w:tcW w:type="dxa" w:w="3118"/>
          </w:tcPr>
          <w:p>
            <w:r/>
            <w:r>
              <w:rPr>
                <w:b w:val="0"/>
                <w:sz w:val="24"/>
              </w:rPr>
              <w:t>Cột L: Task_ID</w:t>
            </w:r>
          </w:p>
        </w:tc>
      </w:tr>
      <w:tr>
        <w:tc>
          <w:tcPr>
            <w:tcW w:type="dxa" w:w="3118"/>
          </w:tcPr>
          <w:p>
            <w:r/>
            <w:r>
              <w:rPr>
                <w:b w:val="0"/>
                <w:sz w:val="24"/>
              </w:rPr>
              <w:t>Ib – Kế hoạch tháng</w:t>
            </w:r>
          </w:p>
        </w:tc>
        <w:tc>
          <w:tcPr>
            <w:tcW w:type="dxa" w:w="2835"/>
          </w:tcPr>
          <w:p>
            <w:r/>
            <w:r>
              <w:rPr>
                <w:b w:val="0"/>
                <w:sz w:val="24"/>
              </w:rPr>
              <w:t>11 cột (A–K)</w:t>
            </w:r>
          </w:p>
        </w:tc>
        <w:tc>
          <w:tcPr>
            <w:tcW w:type="dxa" w:w="3118"/>
          </w:tcPr>
          <w:p>
            <w:r/>
            <w:r>
              <w:rPr>
                <w:b w:val="0"/>
                <w:sz w:val="24"/>
              </w:rPr>
              <w:t>Cột L: Task_ID</w:t>
            </w:r>
          </w:p>
        </w:tc>
      </w:tr>
      <w:tr>
        <w:tc>
          <w:tcPr>
            <w:tcW w:type="dxa" w:w="3118"/>
          </w:tcPr>
          <w:p>
            <w:r/>
            <w:r>
              <w:rPr>
                <w:b w:val="0"/>
                <w:sz w:val="24"/>
              </w:rPr>
              <w:t>IIb – Báo cáo tháng</w:t>
            </w:r>
          </w:p>
        </w:tc>
        <w:tc>
          <w:tcPr>
            <w:tcW w:type="dxa" w:w="2835"/>
          </w:tcPr>
          <w:p>
            <w:r/>
            <w:r>
              <w:rPr>
                <w:b w:val="0"/>
                <w:sz w:val="24"/>
              </w:rPr>
              <w:t>17 cột (A–Q)</w:t>
            </w:r>
          </w:p>
        </w:tc>
        <w:tc>
          <w:tcPr>
            <w:tcW w:type="dxa" w:w="3118"/>
          </w:tcPr>
          <w:p>
            <w:r/>
            <w:r>
              <w:rPr>
                <w:b w:val="0"/>
                <w:sz w:val="24"/>
              </w:rPr>
              <w:t>Cột R: Task_ID</w:t>
            </w:r>
          </w:p>
        </w:tc>
      </w:tr>
      <w:tr>
        <w:tc>
          <w:tcPr>
            <w:tcW w:type="dxa" w:w="3118"/>
          </w:tcPr>
          <w:p>
            <w:r/>
            <w:r>
              <w:rPr>
                <w:b w:val="0"/>
                <w:sz w:val="24"/>
              </w:rPr>
              <w:t>IIc – Báo cáo quý</w:t>
            </w:r>
          </w:p>
        </w:tc>
        <w:tc>
          <w:tcPr>
            <w:tcW w:type="dxa" w:w="2835"/>
          </w:tcPr>
          <w:p>
            <w:r/>
            <w:r>
              <w:rPr>
                <w:b w:val="0"/>
                <w:sz w:val="24"/>
              </w:rPr>
              <w:t>17 cột (A–Q)</w:t>
            </w:r>
          </w:p>
        </w:tc>
        <w:tc>
          <w:tcPr>
            <w:tcW w:type="dxa" w:w="3118"/>
          </w:tcPr>
          <w:p>
            <w:r/>
            <w:r>
              <w:rPr>
                <w:b w:val="0"/>
                <w:sz w:val="24"/>
              </w:rPr>
              <w:t>Cột R: Task_ID</w:t>
            </w:r>
          </w:p>
        </w:tc>
      </w:tr>
    </w:tbl>
    <w:p/>
    <w:p>
      <w:pPr>
        <w:spacing w:after="120"/>
        <w:ind w:firstLine="720"/>
        <w:jc w:val="both"/>
      </w:pPr>
      <w:r>
        <w:rPr>
          <w:b w:val="0"/>
          <w:i w:val="0"/>
          <w:sz w:val="28"/>
        </w:rPr>
        <w:t>Mã có dạng KTC-&lt;năm&gt;-&lt;kỳ&gt;-&lt;số thứ tự 5 chữ số&gt;, ví dụ KTC-2026-Q3-00125. Mã do bộ phận tổng hợp kế hoạch cấp một lần khi nhiệm vụ lần đầu vào kế hoạch; kế hoạch tháng và báo cáo chỉ chép lại mã đã cấp, không tự đặt mã mới. Nhiệm vụ phát sinh phải được cấp mã trước khi đưa vào báo cáo.</w:t>
      </w:r>
    </w:p>
    <w:p>
      <w:pPr>
        <w:spacing w:after="120"/>
        <w:jc w:val="both"/>
      </w:pPr>
      <w:r>
        <w:rPr>
          <w:b/>
          <w:i w:val="0"/>
          <w:sz w:val="28"/>
        </w:rPr>
        <w:t>3. Tác động</w:t>
      </w:r>
    </w:p>
    <w:p>
      <w:pPr>
        <w:spacing w:after="120"/>
        <w:ind w:firstLine="720"/>
        <w:jc w:val="both"/>
      </w:pPr>
      <w:r>
        <w:rPr>
          <w:b w:val="0"/>
          <w:i w:val="0"/>
          <w:sz w:val="28"/>
        </w:rPr>
        <w:t>Đơn vị chỉ phải điền thêm một cột đã có sẵn mã. Dữ liệu các kỳ trước không phải làm lại (không hồi tố). Mẫu gốc trong kho văn bản giữ nguyên cho đến khi có văn bản điều chỉnh mẫu của Nhà trường.</w:t>
      </w:r>
    </w:p>
    <w:p>
      <w:pPr>
        <w:spacing w:after="120"/>
        <w:jc w:val="both"/>
      </w:pPr>
      <w:r>
        <w:rPr>
          <w:b/>
          <w:i w:val="0"/>
          <w:sz w:val="28"/>
        </w:rPr>
        <w:t>4. Lộ trình dự kiến</w:t>
      </w:r>
    </w:p>
    <w:p>
      <w:pPr>
        <w:spacing w:after="120"/>
        <w:ind w:firstLine="720"/>
        <w:jc w:val="both"/>
      </w:pPr>
      <w:r>
        <w:rPr>
          <w:b w:val="0"/>
          <w:i w:val="0"/>
          <w:sz w:val="28"/>
        </w:rPr>
        <w:t>(1) Lãnh đạo cho ý kiến về thiết kế cột và thời điểm áp dụng; (2) phòng Tổng hợp - Hành chính và Quản trị tham mưu văn bản điều chỉnh mẫu và cấp mã từ kỳ kế hoạch tiếp theo; (3) cập nhật công cụ tổng hợp, chạy thử trên dữ liệu thật trước khi dùng chính thức.</w:t>
      </w:r>
    </w:p>
    <w:p>
      <w:pPr>
        <w:spacing w:after="120"/>
        <w:jc w:val="both"/>
      </w:pPr>
      <w:r>
        <w:rPr>
          <w:b/>
          <w:i w:val="0"/>
          <w:sz w:val="28"/>
        </w:rPr>
        <w:t>5. Ý kiến của người có thẩm quyền</w:t>
      </w:r>
    </w:p>
    <w:p>
      <w:pPr>
        <w:spacing w:after="120"/>
        <w:jc w:val="both"/>
      </w:pPr>
      <w:r>
        <w:rPr>
          <w:b w:val="0"/>
          <w:i w:val="0"/>
          <w:sz w:val="28"/>
        </w:rPr>
        <w:t>☐ Đồng ý như đề xuất, áp dụng từ kỳ: ……………………</w:t>
      </w:r>
    </w:p>
    <w:p>
      <w:pPr>
        <w:spacing w:after="120"/>
        <w:jc w:val="both"/>
      </w:pPr>
      <w:r>
        <w:rPr>
          <w:b w:val="0"/>
          <w:i w:val="0"/>
          <w:sz w:val="28"/>
        </w:rPr>
        <w:t>☐ Đồng ý, có điều chỉnh: ……………………………………………</w:t>
      </w:r>
    </w:p>
    <w:p>
      <w:pPr>
        <w:spacing w:after="120"/>
        <w:jc w:val="both"/>
      </w:pPr>
      <w:r>
        <w:rPr>
          <w:b w:val="0"/>
          <w:i w:val="0"/>
          <w:sz w:val="28"/>
        </w:rPr>
        <w:t>☐ Chưa đồng ý. Lý do: ……………………………………………</w:t>
      </w:r>
    </w:p>
    <w:p>
      <w:pPr>
        <w:spacing w:after="120"/>
        <w:jc w:val="center"/>
      </w:pPr>
      <w:r>
        <w:rPr>
          <w:b/>
          <w:i w:val="0"/>
          <w:sz w:val="28"/>
        </w:rPr>
        <w:t>NGƯỜI CHO Ý KIẾN</w:t>
        <w:br/>
        <w:t>(Ký, ghi rõ họ tên)</w:t>
        <w:br/>
        <w:br/>
        <w:br/>
      </w:r>
    </w:p>
    <w:p>
      <w:pPr>
        <w:spacing w:after="120"/>
        <w:jc w:val="both"/>
      </w:pPr>
      <w:r>
        <w:rPr>
          <w:b w:val="0"/>
          <w:i/>
          <w:sz w:val="22"/>
        </w:rPr>
        <w:t>Nguồn đối chiếu: KTC-Database/02-KTC-Regulations — Thông báo số 736/TB-CĐKT ngày 25/6/2026 và tệp mẫu Phụ lục Ia, Ib, IIb, IIc (đọc trực tiếp 18/9/2026). Chi tiết kỹ thuật: De-xuat-Bo-sung-Cot-Task_ID-Phu-luc-TB736.md cùng thư mục.</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