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Văn Hiền</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Nhân viên hỗ trợ, phục vụ</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Văn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Kiểm tra sửa chữa các hư hỏng thường xuyên về điện nước, CSVC tại các cơ sở thuộc trường — Kiểm tra hiện trạng, đề xuất sửa chữa, lập kế hoạch và thủ tục hồ sơ, mua sắm và tiến hành sửa chữa</w:t>
            </w:r>
          </w:p>
        </w:tc>
        <w:tc>
          <w:tcPr>
            <w:tcW w:w="1321" w:type="dxa"/>
          </w:tcPr>
          <w:p w14:paraId="2FBF71C8" w14:textId="77777777" w:rsidR="00132108" w:rsidRDefault="00132108">
            <w:pPr>
              <w:spacing w:line="276" w:lineRule="auto"/>
              <w:jc w:val="center"/>
            </w:pPr>
            <w:r>
              <w:t>Số lượng, chất lượng, tiến độ hoàn thành: Nghiệm thu khối lượng và đưa vào sử dụng</w:t>
            </w:r>
          </w:p>
        </w:tc>
        <w:tc>
          <w:tcPr>
            <w:tcW w:w="1321" w:type="dxa"/>
            <w:vAlign w:val="center"/>
          </w:tcPr>
          <w:p w14:paraId="6953252A" w14:textId="7CE31C3E" w:rsidR="00132108" w:rsidRDefault="00132108">
            <w:pPr>
              <w:spacing w:line="276" w:lineRule="auto"/>
              <w:jc w:val="center"/>
            </w:pPr>
            <w:r>
              <w:t>4 lần/năm (kế hoạch năm 2026; phần thuộc Quý IV/2026). Nhóm 1, 100 điểm, hệ số 1 — trọng số 14.2%</w:t>
            </w:r>
          </w:p>
        </w:tc>
        <w:tc>
          <w:tcPr>
            <w:tcW w:w="1175" w:type="dxa"/>
            <w:vAlign w:val="center"/>
          </w:tcPr>
          <w:p w14:paraId="35C5A768" w14:textId="77777777" w:rsidR="00132108" w:rsidRDefault="00132108">
            <w:pPr>
              <w:spacing w:line="276" w:lineRule="auto"/>
              <w:jc w:val="center"/>
            </w:pPr>
            <w:r>
              <w:t>Nghiệm thu khối lượng và đưa vào sử dụng</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Nghiệm thu khối lượng và đưa vào sử dụng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Mua sắm, sửa chữa thường xuyên CSVC — Triển khai các bước thực hiện theo đề xuất của các đơn vị đã được Lãnh đạo phân công</w:t>
            </w:r>
          </w:p>
        </w:tc>
        <w:tc>
          <w:tcPr>
            <w:tcW w:w="1321" w:type="dxa"/>
          </w:tcPr>
          <w:p w14:paraId="7671A9FF" w14:textId="77777777" w:rsidR="00132108" w:rsidRDefault="00132108">
            <w:pPr>
              <w:spacing w:line="276" w:lineRule="auto"/>
              <w:jc w:val="center"/>
            </w:pPr>
            <w:r>
              <w:t>Số lượng, chất lượng, tiến độ hoàn thành: Nghiệm thu khối lượng và đưa vào sử dụng</w:t>
            </w:r>
          </w:p>
        </w:tc>
        <w:tc>
          <w:tcPr>
            <w:tcW w:w="1321" w:type="dxa"/>
            <w:vAlign w:val="center"/>
          </w:tcPr>
          <w:p w14:paraId="27779D86" w14:textId="5E7CD7DA" w:rsidR="00132108" w:rsidRDefault="00132108">
            <w:pPr>
              <w:spacing w:line="276" w:lineRule="auto"/>
              <w:jc w:val="center"/>
            </w:pPr>
            <w:r>
              <w:t>6 lần/năm (kế hoạch năm 2026; phần thuộc Quý IV/2026). Nhóm 1, 100 điểm, hệ số 1 — trọng số 14.3%</w:t>
            </w:r>
          </w:p>
        </w:tc>
        <w:tc>
          <w:tcPr>
            <w:tcW w:w="1175" w:type="dxa"/>
            <w:vAlign w:val="center"/>
          </w:tcPr>
          <w:p w14:paraId="32E2D893" w14:textId="77777777" w:rsidR="00132108" w:rsidRDefault="00132108">
            <w:pPr>
              <w:spacing w:line="276" w:lineRule="auto"/>
              <w:jc w:val="center"/>
            </w:pPr>
            <w:r>
              <w:t>Nghiệm thu khối lượng và đưa vào sử dụng</w:t>
            </w:r>
          </w:p>
        </w:tc>
        <w:tc>
          <w:tcPr>
            <w:tcW w:w="771" w:type="dxa"/>
            <w:vAlign w:val="center"/>
          </w:tcPr>
          <w:p w14:paraId="38684075" w14:textId="77777777" w:rsidR="00132108" w:rsidRDefault="00132108">
            <w:pPr>
              <w:spacing w:line="276" w:lineRule="auto"/>
              <w:jc w:val="center"/>
            </w:pPr>
            <w:r>
              <w:t>Khi phát sinh trong Quý IV/2026</w:t>
            </w:r>
          </w:p>
        </w:tc>
        <w:tc>
          <w:tcPr>
            <w:tcW w:w="1485" w:type="dxa"/>
            <w:vAlign w:val="center"/>
          </w:tcPr>
          <w:p w14:paraId="127D9575" w14:textId="77777777" w:rsidR="00132108" w:rsidRDefault="00132108">
            <w:pPr>
              <w:spacing w:line="276" w:lineRule="auto"/>
              <w:jc w:val="center"/>
            </w:pPr>
            <w:r>
              <w:t>Nghiệm thu khối lượng và đưa vào sử dụng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Kế hoạch mua sắm pin tiểu phục vụ các hoạt động chung — Tổng hợp danh mục, tình hình thực tế, xây dựng kế hoạch.</w:t>
            </w:r>
          </w:p>
        </w:tc>
        <w:tc>
          <w:tcPr>
            <w:tcW w:w="1321" w:type="dxa"/>
          </w:tcPr>
          <w:p w14:paraId="167DDC7A" w14:textId="77777777" w:rsidR="00132108" w:rsidRDefault="00132108">
            <w:pPr>
              <w:spacing w:line="276" w:lineRule="auto"/>
              <w:jc w:val="center"/>
            </w:pPr>
            <w:r>
              <w:t>Số lượng, chất lượng, tiến độ hoàn thành: Kế hoạch</w:t>
            </w:r>
          </w:p>
        </w:tc>
        <w:tc>
          <w:tcPr>
            <w:tcW w:w="1321" w:type="dxa"/>
            <w:vAlign w:val="center"/>
          </w:tcPr>
          <w:p w14:paraId="38455675" w14:textId="019399BF" w:rsidR="00132108" w:rsidRDefault="00132108">
            <w:pPr>
              <w:spacing w:line="276" w:lineRule="auto"/>
              <w:jc w:val="center"/>
            </w:pPr>
            <w:r>
              <w:t>1 kế hoạch/năm (kế hoạch năm 2026; phần thuộc Quý IV/2026). Nhóm 1, 100 điểm, hệ số 1 — trọng số 14.3%</w:t>
            </w:r>
          </w:p>
        </w:tc>
        <w:tc>
          <w:tcPr>
            <w:tcW w:w="1175" w:type="dxa"/>
            <w:vAlign w:val="center"/>
          </w:tcPr>
          <w:p w14:paraId="57129879" w14:textId="77777777" w:rsidR="00132108" w:rsidRDefault="00132108">
            <w:pPr>
              <w:spacing w:line="276" w:lineRule="auto"/>
              <w:jc w:val="center"/>
            </w:pPr>
            <w:r>
              <w:t>Kế hoạch</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Kế hoạch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Chuẩn bị hội trường phục vụ Hội nghị — Bố trí phòng họp, âm thanh, ánh sáng, maket, bảng tên, băng rôn, khẩu hiệu</w:t>
            </w:r>
          </w:p>
        </w:tc>
        <w:tc>
          <w:tcPr>
            <w:tcW w:w="1321" w:type="dxa"/>
          </w:tcPr>
          <w:p w14:paraId="47F1EE84" w14:textId="77777777" w:rsidR="00132108" w:rsidRDefault="00132108">
            <w:pPr>
              <w:spacing w:line="276" w:lineRule="auto"/>
              <w:jc w:val="center"/>
            </w:pPr>
            <w:r>
              <w:t>Số lượng, chất lượng, tiến độ hoàn thành: Theo kế hoạch</w:t>
            </w:r>
          </w:p>
        </w:tc>
        <w:tc>
          <w:tcPr>
            <w:tcW w:w="1321" w:type="dxa"/>
            <w:vAlign w:val="center"/>
          </w:tcPr>
          <w:p w14:paraId="3ED004E3" w14:textId="757FEE9D" w:rsidR="00132108" w:rsidRDefault="00132108">
            <w:pPr>
              <w:spacing w:line="276" w:lineRule="auto"/>
              <w:jc w:val="center"/>
            </w:pPr>
            <w:r>
              <w:t>Theo từng hội nghị được phân công (kế hoạch năm 2026; phần thuộc Quý IV/2026). Nhóm 1, 100 điểm, hệ số 1 — trọng số 14.3%</w:t>
            </w:r>
          </w:p>
        </w:tc>
        <w:tc>
          <w:tcPr>
            <w:tcW w:w="1175" w:type="dxa"/>
            <w:vAlign w:val="center"/>
          </w:tcPr>
          <w:p w14:paraId="4D5851EE" w14:textId="77777777" w:rsidR="00132108" w:rsidRDefault="00132108">
            <w:pPr>
              <w:spacing w:line="276" w:lineRule="auto"/>
              <w:jc w:val="center"/>
            </w:pPr>
            <w:r>
              <w:t>Theo kế hoạch</w:t>
            </w:r>
          </w:p>
        </w:tc>
        <w:tc>
          <w:tcPr>
            <w:tcW w:w="771" w:type="dxa"/>
            <w:vAlign w:val="center"/>
          </w:tcPr>
          <w:p w14:paraId="0BC2B0AB" w14:textId="77777777" w:rsidR="00132108" w:rsidRDefault="00132108">
            <w:pPr>
              <w:spacing w:line="276" w:lineRule="auto"/>
              <w:jc w:val="center"/>
            </w:pPr>
            <w:r>
              <w:t>Khi phát sinh trong Quý IV/2026</w:t>
            </w:r>
          </w:p>
        </w:tc>
        <w:tc>
          <w:tcPr>
            <w:tcW w:w="1485" w:type="dxa"/>
            <w:vAlign w:val="center"/>
          </w:tcPr>
          <w:p w14:paraId="4700361C" w14:textId="77777777" w:rsidR="00132108" w:rsidRDefault="00132108">
            <w:pPr>
              <w:spacing w:line="276" w:lineRule="auto"/>
              <w:jc w:val="center"/>
            </w:pPr>
            <w:r>
              <w:t>Theo 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Kế hoạch trang bị vật tư, dụng cụ vệ sinh, lao động năm 2026 — Tổng hợp danh mục vật tư, tình hình thực tế, xây dựng kế hoạch.</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1, 100 điểm, hệ số 1 — trọng số 14.3%</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Kế hoạch mua sắm nhiên liệu, vật tư cắt tỉa cây xanh, thảm cỏ — Tổng hợp danh mục vật tư, tình hình thực tế, xây dựng kế hoạch.</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1, 100 điểm, hệ số 1 — trọng số 14.3%</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Công tác PCCC — Tổng hợp danh mục, tình hình thực tế, xây dựng kế hoạch.</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4 báo cáo/năm (kế hoạch năm 2026; phần thuộc Quý IV/2026). Nhóm 1, 100 điểm, hệ số 1 — trọng số 14.3%</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