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ĐỀ ÁN TRIỂN KHAI ĐÀO TẠO VÀ SÁT HẠCH LÁI XE MÔ TÔ HẠNG A TẠI TRƯỜNG CAO ĐẲNG KON TUM (DỰ THẢO LẦN 1, BẢN CẬP NHẬT 21/10/2026) VÀ PHỤ LỤC V (BẢNG TÍNH HIỆU QUẢ ĐẦU TƯ)</w:t>
      </w:r>
    </w:p>
    <w:p>
      <w:pPr>
        <w:jc w:val="center"/>
      </w:pPr>
      <w:r>
        <w:rPr>
          <w:rFonts w:ascii="Times New Roman" w:hAnsi="Times New Roman"/>
          <w:b w:val="0"/>
          <w:i w:val="0"/>
          <w:sz w:val="26"/>
        </w:rPr>
        <w:t xml:space="preserve">Ngày rà soát: </w:t>
      </w:r>
      <w:r>
        <w:rPr>
          <w:rFonts w:ascii="Times New Roman" w:hAnsi="Times New Roman"/>
          <w:b/>
          <w:i w:val="0"/>
          <w:sz w:val="26"/>
        </w:rPr>
        <w:t>21/10/2026</w:t>
      </w:r>
      <w:r>
        <w:rPr>
          <w:rFonts w:ascii="Times New Roman" w:hAnsi="Times New Roman"/>
          <w:b w:val="0"/>
          <w:i w:val="0"/>
          <w:sz w:val="26"/>
        </w:rPr>
        <w:t xml:space="preserve">  |  Đơn vị soạn thảo: </w:t>
      </w:r>
      <w:r>
        <w:rPr>
          <w:rFonts w:ascii="Times New Roman" w:hAnsi="Times New Roman"/>
          <w:b/>
          <w:i w:val="0"/>
          <w:sz w:val="26"/>
        </w:rPr>
        <w:t>Tổ xây dựng Đề án (Quyết định số 1944/QĐ-CĐKT); khoa Đào tạo và Sát hạch lái xe chủ trì</w:t>
      </w:r>
      <w:r>
        <w:rPr>
          <w:rFonts w:ascii="Times New Roman" w:hAnsi="Times New Roman"/>
          <w:b w:val="0"/>
          <w:i w:val="0"/>
          <w:sz w:val="26"/>
        </w:rPr>
        <w:t xml:space="preserve">  |  Thẩm quyền: </w:t>
      </w:r>
      <w:r>
        <w:rPr>
          <w:rFonts w:ascii="Times New Roman" w:hAnsi="Times New Roman"/>
          <w:b/>
          <w:i w:val="0"/>
          <w:sz w:val="26"/>
        </w:rPr>
        <w:t>Hiệu trưởng (phê duyệt Đề án)</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A — văn bản hành chính (NĐ 30/2020/NĐ-CP; TB 597/TB-CĐKT). Căn cứ xác định: Đề án nội bộ do Trường Cao đẳng Kon Tum xây dựng, Hiệu trưởng phê duyệt; không phải văn bản Đảng, không phải VBQPPL, không thuộc đoàn thể.</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(dự thảo lần 1) kèm Phụ lục I–IV và bảng tính Phụ lục V (.xlsx). Hình thức phát hành: Văn bản ký số (quy ước của Trường).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Hiệu trưởng phê duyệt. Soạn thảo: Tổ xây dựng Đề án; khoa ĐT&amp;SHLX chủ trì; phòng TH-HC&amp;QT tổng hợp; phòng TC-KT phụ trách phần tài chính.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De_cuong_De_an_Hang_A_cap-nhat-21.10.docx và Phu Lục V_Bang tinh hieu qua dau tu đe a A.xlsx (thư mục OneDrive "4. Đề án làn 1"). Kho 01: NĐ 94/2026/NĐ-CP; VBHN 27/VBHN-BXD (TT 14/2025/TT-BXD, TT 17/2026/TT-BXD); TT 107/2026/TT-BCA; TT 108/2026/TT-BCA; TT 12/2025/TT-BCA; NĐ 160/2024/NĐ-CP; Luật Trật tự, an toàn giao thông đường bộ; NĐ 334/2026/NĐ-CP; QĐ 287/QĐ-UBND; QĐ 339/QĐ-UBND. Kho 02: QĐ 1976/QĐ-CĐKT; QĐ 2047/QĐ-CĐKT; QĐ 1777/QĐ-CĐKT; TB 797/TB-CĐKT; TB 950/TB-CĐKT; TB 162/TB-SXD; Giấy phép đào tạo lái xe ô tô mã số 51012-01/2026 (kèm CV 6099/SXD-VTPT). Kho 03-Templates(1): 06A-Bao-cao-noi-bo.dotx. Kho 04-12: Đề án Trung tâm Đăng kiểm (dự thảo lần 4; bản lần 6 ngày 21/10/2026). Internet (21/10/2026): Congbao.chinhphu.vn (VBHN 55/VBHN-VPQH); thuvienphapluat.vn, luatvietnam.vn (TT 154/2025/TT-BTC); vtv.vn (19/7/2025); baomoi.com (16/9/2025); luatvietnam.vn (CV 74/TCT-CS)</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Rà soát trên bản đã chấp nhận 318 dấu vết Track Changes của Tổ (giữ 45 comment). Kết quả rà soát được áp trực tiếp bằng Track Changes vào bản sao (DA_..._TrackChanges_v2.docx, 165 thay đổi) và bằng quy ước màu vào bản sao bảng tính (PL-V_..._v2_quy-uoc-mau.xlsx); tệp gốc của Tổ không bị sửa. Không thẩm định bản vẽ, định mức kỹ thuật sân, giá thị trường thiết bị.</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21/10/2026. Hiệu lực văn bản kho 01 đọc từ điều khoản thi hành của chính văn bản. Văn bản không có trong kho (QĐ 572, QĐ 05/2025, QĐ 1518, QĐ 1557, QĐ 1944, KH 1790, BC 393, PA 12/PA-CĐKT, Giấy phép sát hạch 58/CSGT(SHLX), TB 423/TB-SXD, NĐ 320/2025/NĐ-CP, TT 154/2025/TT-BTC, TT 23/2023/TT-BTC): Chưa đối chiếu chính văn, đơn vị soạn thảo tự xác minh.</w:t>
            </w:r>
          </w:p>
        </w:tc>
      </w:tr>
    </w:tbl>
    <w:p>
      <w:pPr>
        <w:spacing w:after="40"/>
      </w:pPr>
    </w:p>
    <w:p>
      <w:pPr>
        <w:spacing w:after="60" w:line="276" w:lineRule="auto"/>
        <w:ind w:firstLine="567"/>
        <w:jc w:val="both"/>
      </w:pPr>
      <w:r>
        <w:rPr>
          <w:rFonts w:ascii="Times New Roman" w:hAnsi="Times New Roman"/>
          <w:b w:val="0"/>
          <w:i w:val="0"/>
          <w:sz w:val="28"/>
        </w:rPr>
        <w:t>Phạm vi rà soát: Toàn bộ thân Đề án (Phần I–VI), Phụ lục I–IV và 6 sheet của Phụ lục V; 4 nhóm tiêu chí Thể thức, Nội dung, Điều khoản bắt buộc, Chất lượng soạn thảo; thẩm định chuyên môn ở mức logic nội bộ và đối chiếu văn bản chuyên ngành (Phần V). Không dùng báo cáo rà soát của công cụ AI khác làm căn cứ; phiếu thẩm định ngày 21/10/2026 chỉ dùng làm danh mục điểm cần kiểm lại.</w:t>
      </w: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IV mục V; Phụ lục V sheet "Dự toán thu - chi" ô C29</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Thời gian hoàn vốn 3,83 năm tính sai: Công thức chia tổng dòng tiền 5 năm cho 4. Tính lũy kế với chính số liệu của bảng (48,1 → 320,7 → 659,6 → 1.073,1 → 1.573,4 triệu đồng), vốn 1.505,2 triệu đồng thu hồi trong năm thứ 5, khoảng 4,86 năm.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Thay công thức bằng cách tính theo dòng tiền lũy kế; sửa số ở Phụ lục IV, mục tiêu d) và Kết luận.</w:t>
            </w:r>
          </w:p>
          <w:p>
            <w:pPr>
              <w:spacing w:after="0" w:before="80" w:line="240" w:lineRule="auto"/>
              <w:jc w:val="both"/>
            </w:pPr>
            <w:r>
              <w:rPr>
                <w:rFonts w:ascii="Times New Roman" w:hAnsi="Times New Roman"/>
                <w:b w:val="0"/>
                <w:i w:val="0"/>
                <w:color w:val="FF0000"/>
                <w:sz w:val="26"/>
              </w:rPr>
              <w:t>Phản hồi: Đã sửa trong bản Track Changes v2; Excel C29 tô đỏ, nền vàng.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Excel tính lại = 4,8636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 Phần IV mục II.2 "Nguồn vốn đầu tư"</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trống. Mục tiêu chung và mục V.2đ nêu nguồn "nguồn thu và Quỹ phát triển hoạt động sự nghiệp" nhưng không có số tiền, năm, dự phòng; Đề án đầu tư không xác định được nguồn vốn thì chưa đủ cơ sở phê duyệt.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Lập bảng nguồn vốn 2026–2028 theo từng nguồn, thêm dòng dự phòng 5–10% (như Đề án Đăng kiểm lần 6).</w:t>
            </w:r>
          </w:p>
          <w:p>
            <w:pPr>
              <w:spacing w:after="0" w:before="80" w:line="240" w:lineRule="auto"/>
              <w:jc w:val="both"/>
            </w:pPr>
            <w:r>
              <w:rPr>
                <w:rFonts w:ascii="Times New Roman" w:hAnsi="Times New Roman"/>
                <w:b w:val="0"/>
                <w:i w:val="0"/>
                <w:color w:val="FF0000"/>
                <w:sz w:val="26"/>
              </w:rPr>
              <w:t>Phản hồi: Đã chèn ô giữ chỗ cho phòng TC-KT bổ sung, kèm căn cứ sử dụng Quỹ.</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07 (bố cục, nguồn lực); NĐ 60/2021/NĐ-CP sửa đổi bởi NĐ 111/2025/NĐ-CP</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II mục IV.2; Phần III mục I.2c, IV.1; Bảng 10 ghi chú</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thống truyền dữ liệu giám sát sát hạch và định danh, xác thực điện tử là điều kiện bắt buộc trước 01/01/2027 (còn khoảng 70 ngày) nhưng Đề án không tính kinh phí, chưa có báo giá, ghi "Trường bố trí kinh phí riêng". Không đáp ứng thì ảnh hưởng cả sát hạch Hạng A1 đang hoạt động.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Tách thành nhiệm vụ khẩn, triển khai ngay; khoa ĐT&amp;SHLX chủ trì, sử dụng kinh phí chi thường xuyên của Trường, không tính vào kinh phí của Đề án.</w:t>
            </w:r>
          </w:p>
          <w:p>
            <w:pPr>
              <w:spacing w:after="0" w:before="80" w:line="240" w:lineRule="auto"/>
              <w:jc w:val="both"/>
            </w:pPr>
            <w:r>
              <w:rPr>
                <w:rFonts w:ascii="Times New Roman" w:hAnsi="Times New Roman"/>
                <w:b w:val="0"/>
                <w:i w:val="0"/>
                <w:color w:val="FF0000"/>
                <w:sz w:val="26"/>
              </w:rPr>
              <w:t>Phản hồi: Đã sửa viện dẫn; ghi rõ nguồn kinh phí, đơn vị chủ trì tại Phần III, Bảng 10 và mục Tổ chức thực hiện.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Khoản 5, điểm g khoản 12 Điều 24; khoản 3 Điều 42 NĐ 94/2026/NĐ-CP</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 Phần III mục III; Phụ lục II; Phụ lục V (dòng thu cho thuê sân, thiết bị)</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Bảng tính có hai khoản thu cho thuê sân, thiết bị ôn luyện và phục vụ sát hạch, tức sử dụng tài sản công vào mục đích cho thuê; Đề án chỉ ghi điều kiện "trường hợp… thì lập Đề án sử dụng tài sản công".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rõ phải lập (hoặc rà soát Đề án đang áp dụng cho Hạng A1) Đề án sử dụng tài sản công vào mục đích kinh doanh, cho thuê; đưa vào Phụ lục II và lộ trình.</w:t>
            </w:r>
          </w:p>
          <w:p>
            <w:pPr>
              <w:spacing w:after="0" w:before="80" w:line="240" w:lineRule="auto"/>
              <w:jc w:val="both"/>
            </w:pPr>
            <w:r>
              <w:rPr>
                <w:rFonts w:ascii="Times New Roman" w:hAnsi="Times New Roman"/>
                <w:b w:val="0"/>
                <w:i w:val="0"/>
                <w:color w:val="FF0000"/>
                <w:sz w:val="26"/>
              </w:rPr>
              <w:t>Phản hồi: Đã sửa trong bản Track Changes v2 (mục III Phần III, Phụ lục II dòng 6).</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a khoản 7 Điều 7 NĐ 334/2026/NĐ-CP; NĐ 186/2025/NĐ-CP</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(pháp lý) — Bảng 6, Bảng 8 (câu dẫn và các dòng 1, 2, 5), Phụ lục I dòng 5–8</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chọn phương án trung tâm sát hạch loại 3 nhưng dẫn Điều 31 (sân tập lái để sát hạch lái xe mô tô — phương án dự phòng) cho điều kiện xe sát hạch, thiết bị chấm điểm, thiết bị hỗ trợ, diện tích sân.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Dẫn đúng Điều 24: điểm b khoản 7 (xe sát hạch), khoản 9 (thiết bị trong hình), khoản 12 (thiết bị hỗ trợ), khoản 6 (diện tích); Điều 31 chỉ dẫn cho phương án dự phòng.</w:t>
            </w:r>
          </w:p>
          <w:p>
            <w:pPr>
              <w:spacing w:after="0" w:before="80" w:line="240" w:lineRule="auto"/>
              <w:jc w:val="both"/>
            </w:pPr>
            <w:r>
              <w:rPr>
                <w:rFonts w:ascii="Times New Roman" w:hAnsi="Times New Roman"/>
                <w:b w:val="0"/>
                <w:i w:val="0"/>
                <w:color w:val="FF0000"/>
                <w:sz w:val="26"/>
              </w:rPr>
              <w:t>Phản hồi: Đã sửa trong bản Track Changes v2; 4 chỗ còn dẫn Điều 31 đều thuộc phương án dự phòng.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24, Điều 31 NĐ 94/2026/NĐ-CP (đọc chính văn kho 01)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(pháp lý) — Căn cứ; Phần I; Phần II mục III; Kết luận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số hiệu Luật (36/2024/QH15, 124/2025/QH15) và "được sửa đổi… bởi Luật 118/2025/QH15"; không theo quy ước viện dẫn Luật trong văn bản hành chính của Trường. Luật Trật tự, an toàn giao thông đường bộ đã có VBHN 55/VBHN-VPQH ngày 23/3/2026.</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tên Luật và ngày ban hành, giữ cụm "(hợp nhất tại Văn bản hợp nhất số…)"; bỏ số hiệu ở toàn văn.</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 01/2012/UBTVQH13 Điều 4; quy ước Trường chốt 21/10/2026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(pháp lý) — Căn cứ; Phần II mục I.1d</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phép đào tạo lái xe ô tô số 6099/SXD-VTPT ngày 07/8/2026": 6099/SXD-VTPT là công văn gửi kèm; giấy phép mang mã số 51012-01/2026, cấp ngày 06/8/2026.</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đúng mã số, ngày của giấy phép, nêu công văn gửi kèm.</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02: Giay-phep-dao-tao-lai-xe-o-to_CDKT_Cap-lai-20260806 và metadata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III mục V.2a (nguồn thu)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Liệt kê "phí sát hạch" là nguồn thu sự nghiệp của Trường. Phí sát hạch là khoản thu của cơ quan tổ chức sát hạch; Trường chỉ có khoản thu từ cung cấp sân, thiết bị phục vụ sát hạch.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cách gọi khoản thu; bổ sung căn cứ TT 154/2025/TT-BTC.</w:t>
            </w:r>
          </w:p>
          <w:p>
            <w:pPr>
              <w:spacing w:after="0" w:before="80" w:line="240" w:lineRule="auto"/>
              <w:jc w:val="both"/>
            </w:pPr>
            <w:r>
              <w:rPr>
                <w:rFonts w:ascii="Times New Roman" w:hAnsi="Times New Roman"/>
                <w:b w:val="0"/>
                <w:i w:val="0"/>
                <w:color w:val="FF0000"/>
                <w:sz w:val="26"/>
              </w:rPr>
              <w:t>Phản hồi: Đã sửa trong bản Track Changes v2 (thêm căn cứ TT 154/2025/TT-BTC).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154/2025/TT-BTC (Internet, thuvienphapluat.vn)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tiêu cụ thể d); Phụ lục 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Doanh thu học phí Hạng A 2027–2031 ghi "khoảng 6,46 tỷ đồng"; tổng theo bảng tính là 8.589,5 triệu đồng.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thành khoảng 8,59 tỷ đồng (hoặc hạ chỉ tiêu nếu 6,46 là chủ đích).</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(Phụ lục V sheet "Dự kiến thu")</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Bảng 10; Phụ lục IV mục I; Phụ lục V sheet "Khấu hao"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Cùng hạng mục, ba số khác nhau: Thiết bị chấm điểm 200 / 198,7 (báo giá EcoTek) / 150 triệu đồng. Sân bài số 2: 590 triệu đồng đã là phần phân bổ theo diện tích (900/2.000 m² của 1.310,2 triệu đồng) nhưng còn nhân 50%. "Tổng vốn đầu tư" 1.505,2 triệu đồng gồm cả tài sản đã có (phòng học, phòng máy, 03 sân tập A1); vốn mới theo Bảng 10 là 1.730,2 triệu đồng.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theo báo giá; phân bổ phần dùng chung theo số lượt sát hạch, giờ học thực hành; hoàn vốn tính trên vốn đầu tư mới.</w:t>
            </w:r>
          </w:p>
          <w:p>
            <w:pPr>
              <w:spacing w:after="0" w:before="80" w:line="240" w:lineRule="auto"/>
              <w:jc w:val="both"/>
            </w:pPr>
            <w:r>
              <w:rPr>
                <w:rFonts w:ascii="Times New Roman" w:hAnsi="Times New Roman"/>
                <w:b w:val="0"/>
                <w:i w:val="0"/>
                <w:color w:val="FF0000"/>
                <w:sz w:val="26"/>
              </w:rPr>
              <w:t>Phản hồi: Chờ phòng TC-KT — các ô đã tô nền cam, có ghi chú trong Excel.</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V sheet "Dự kiến thu" B14:C14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Lượt thuê sân sát hạch năm 2027 (500) và 2028 (525) lớn hơn số học viên (220; 600), trong khi Trường chỉ sát hạch Hạng A sau khi được cấp lại giấy phép sát hạch.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Năm 2027 tính 0; từ 2028 tính số học viên × 1,2.</w:t>
            </w:r>
          </w:p>
          <w:p>
            <w:pPr>
              <w:spacing w:after="0" w:before="80" w:line="240" w:lineRule="auto"/>
              <w:jc w:val="both"/>
            </w:pPr>
            <w:r>
              <w:rPr>
                <w:rFonts w:ascii="Times New Roman" w:hAnsi="Times New Roman"/>
                <w:b w:val="0"/>
                <w:i w:val="0"/>
                <w:color w:val="FF0000"/>
                <w:sz w:val="26"/>
              </w:rPr>
              <w:t>Phản hồi: Chờ phòng TC-KT (tô nền cam).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lộ trình Phần IV</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V sheet "Dự toán thu - chi" C23:G24; QĐ 572/QĐ-CĐKT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Thuế TNDN tính theo tỷ lệ % trên doanh thu (2% học phí, 5% cho thuê) — phương pháp cho đơn vị không xác định được chi phí — trong khi bảng đã hạch toán chi phí. Bảng coi học phí không chịu GTGT, nhưng QĐ 572 ghi học phí Hạng A1 "đã gồm thuế GTGT 5%".</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Chọn một phương pháp tính thuế; đối chiếu NĐ 320/2025/NĐ-CP; thống nhất GTGT cho Hạng A1 và Hạng A.</w:t>
            </w:r>
          </w:p>
          <w:p>
            <w:pPr>
              <w:spacing w:after="0" w:before="80" w:line="240" w:lineRule="auto"/>
              <w:jc w:val="both"/>
            </w:pPr>
            <w:r>
              <w:rPr>
                <w:rFonts w:ascii="Times New Roman" w:hAnsi="Times New Roman"/>
                <w:b w:val="0"/>
                <w:i w:val="0"/>
                <w:color w:val="FF0000"/>
                <w:sz w:val="26"/>
              </w:rPr>
              <w:t>Phản hồi: Chờ phòng TC-KT.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320/2025/NĐ-CP (chưa có trong kho); CV 74/TCT-CS</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III mục I.4; Phần V mục 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Chỉ tiêu Hạng A dựa trên giả định Trường chiếm 70% nhu cầu toàn khu vực phía Tây, chưa có phân tích độ nhạy. Thị phần Hạng A1 hiện của Trường khoảng 28–30%.</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kịch bản 50%, 70%, 100% và nêu ngưỡng hòa vốn.</w:t>
            </w:r>
          </w:p>
          <w:p>
            <w:pPr>
              <w:spacing w:after="0" w:before="80" w:line="240" w:lineRule="auto"/>
              <w:jc w:val="both"/>
            </w:pPr>
            <w:r>
              <w:rPr>
                <w:rFonts w:ascii="Times New Roman" w:hAnsi="Times New Roman"/>
                <w:b w:val="0"/>
                <w:i w:val="0"/>
                <w:color w:val="FF0000"/>
                <w:sz w:val="26"/>
              </w:rPr>
              <w:t>Phản hồi: Đã sửa trong bản Track Changes v2 (đoạn độ nhạy; sheet "Độ nhạy" trong Excel).</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số liệu Sở Xây dựng năm 2025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III mục IV.1; Phụ lục I dòng 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Tổng diện tích sân sát hạch 3.717,5 m² chỉ vượt mức 3.600 m² có 117,5 m²; phép cộng 1.000 + 717,5 + 2.000 m² có thể trùng phần tiếp giáp giữa sân A1 và sân tập A1; khu 2.000 m² dùng chung đào tạo ô tô.</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Đo, lập bản vẽ hiện trạng toàn Trung tâm trước thiết kế; xác nhận với Phòng CSGT việc dùng chung sân.</w:t>
            </w:r>
          </w:p>
          <w:p>
            <w:pPr>
              <w:spacing w:after="0" w:before="80" w:line="240" w:lineRule="auto"/>
              <w:jc w:val="both"/>
            </w:pPr>
            <w:r>
              <w:rPr>
                <w:rFonts w:ascii="Times New Roman" w:hAnsi="Times New Roman"/>
                <w:b w:val="0"/>
                <w:i w:val="0"/>
                <w:color w:val="FF0000"/>
                <w:sz w:val="26"/>
              </w:rPr>
              <w:t>Phản hồi: Chưa sửa — chờ Khoa đo đạc.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Khoản 6 Điều 24 NĐ 94/2026/NĐ-CP; mục 2.1.5.3 QCVN 15:2026/BCA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Bảng 1 dòng 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Nhà giáo dạy lái xe ô tô: Tổng 80 người, nhưng biên chế 44 + hợp đồng 35 = 79.</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Khoa kiểm lại số liệu.</w:t>
            </w:r>
          </w:p>
          <w:p>
            <w:pPr>
              <w:spacing w:after="0" w:before="80" w:line="240" w:lineRule="auto"/>
              <w:jc w:val="both"/>
            </w:pPr>
            <w:r>
              <w:rPr>
                <w:rFonts w:ascii="Times New Roman" w:hAnsi="Times New Roman"/>
                <w:b w:val="0"/>
                <w:i w:val="0"/>
                <w:color w:val="FF0000"/>
                <w:sz w:val="26"/>
              </w:rPr>
              <w:t>Phản hồi: Chưa sửa — chờ Khoa.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Toàn văn (section phần thân, phụ lục)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thân (Phần I–VI) dàn trang A4 nằm ngang; 3 bảng rộng hơn khổ dọc; các phụ lục chung một section, số trang liên tục; cuối tệp có trang trắng.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Phần thân A4 đứng, lề 2-2-3-2 cm; mỗi phụ lục một section A4 ngang, số trang từ 1; co bảng vừa khổ; bỏ trang trắng.</w:t>
            </w:r>
          </w:p>
          <w:p>
            <w:pPr>
              <w:spacing w:after="0" w:before="80" w:line="240" w:lineRule="auto"/>
              <w:jc w:val="both"/>
            </w:pPr>
            <w:r>
              <w:rPr>
                <w:rFonts w:ascii="Times New Roman" w:hAnsi="Times New Roman"/>
                <w:b w:val="0"/>
                <w:i w:val="0"/>
                <w:color w:val="FF0000"/>
                <w:sz w:val="26"/>
              </w:rPr>
              <w:t>Phản hồi: Đã sửa trong bản Track Changes v2; đã xuất PDF kiểm tra: Thân 38 trang khổ dọc, phụ lục khổ ngang.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Phụ lục I; TB 597/TB-CĐKT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Trang bìa; toàn văn; cuối văn bản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Trang bìa còn khung chữ "ĐỀ CƯƠNG"; 23 thẻ phân công "[THẦY… CHỦ TRÌ]"; còn mục "TIẾN ĐỘ THỰC HIỆN" (tiến độ nội bộ của Tổ) và "YÊU CẦU CHUNG"; dòng "DỰ KIẾN CÓ CÁC PHỤ LỤC SAU".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Đổi thành "DỰ THẢO LẦN 1"; bỏ các nội dung làm việc nội bộ.</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05 (hình thức)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Đánh số bảng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"Bảng 9", "Bảng 10" mỗi số dùng hai lần; một bảng chưa có số; tiêu đề "Bảng 9. Dự toán doanh thu" không có bảng đi kèm.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Đánh số liên tục Bảng 1–13; bỏ tiêu đề không có bảng.</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Thứ tự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Chỉ thị 10/CT-TTg xếp trước các Nghị định của Chính phủ.</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Xếp sau các Nghị định.</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Phụ lục I (thứ tự hiệu lực pháp lý)</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Toàn văn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Chữ đầu sau dấu hai chấm (kể cả mục liệt kê "(1)…" ngay sau dấu hai chấm) viết thường ở nhiều chỗ; 4 chỗ "Nhà trường" viết hoa giữa câu.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Viết hoa sau dấu hai chấm và đầu các mục liệt kê; "nhà trường" viết thường; giữ "phòng", "khoa" viết thường trong lời văn (phòng TC-KT, khoa ĐT&amp;SHLX).</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2, 2b, 3.1; TB 597 mục 3.1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Toàn văn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Lỗi gõ: "sát hạch lại xe", "phụ vụ", "đầu tu", ".."; "Lái xe" viết hoa giữa câu; "hạng A" viết thường ở 9 chỗ; tiêu đề "1. Đơn vị khoa…/bộ môn… chủ trì thực hiện" dài, lặp.</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chính tả; thống nhất "Hạng A"; rút gọn tiêu đề.</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III mục V.2 (ghi chú Bảng 9); Phụ lục V sheet "lộ trình hp" D8:F8</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Lời văn ghi "mỗi năm tăng 5%", bảng số tăng 10%/năm từ 2029 đối với thiết bị ôn luyện.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chú mô tả đúng bảng số; phòng TC-KT chốt tỷ lệ.</w:t>
            </w:r>
          </w:p>
          <w:p>
            <w:pPr>
              <w:spacing w:after="0" w:before="80" w:line="240" w:lineRule="auto"/>
              <w:jc w:val="both"/>
            </w:pPr>
            <w:r>
              <w:rPr>
                <w:rFonts w:ascii="Times New Roman" w:hAnsi="Times New Roman"/>
                <w:b w:val="0"/>
                <w:i w:val="0"/>
                <w:color w:val="FF0000"/>
                <w:sz w:val="26"/>
              </w:rPr>
              <w:t>Phản hồi: Đã sửa trong bản Track Changes v2 (lời văn); Excel tô nền cam chờ quyết.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IV mục I (lộ trình)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học viên dự sát hạch "tại… tỉnh Gia Lai"; việc bố trí trung tâm sát hạch thuộc Phòng CSGT, trên địa bàn tỉnh đã có trung tâm sát hạch Hạng A ở phía Đông.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"theo bố trí của Phòng Cảnh sát giao thông", không nêu đích danh.</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108/2026/TT-BCA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Toàn văn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 đoạn chữ màu, tô nền (số tiền 61,2; 1.730,2…); 15 đoạn dùng tên phông "Times New Roman Bold".</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Bỏ tô màu khi chốt số; đặt lại tên phông.</w:t>
            </w:r>
          </w:p>
          <w:p>
            <w:pPr>
              <w:spacing w:after="0" w:before="80" w:line="240" w:lineRule="auto"/>
              <w:jc w:val="both"/>
            </w:pPr>
            <w:r>
              <w:rPr>
                <w:rFonts w:ascii="Times New Roman" w:hAnsi="Times New Roman"/>
                <w:b w:val="0"/>
                <w:i w:val="0"/>
                <w:color w:val="FF0000"/>
                <w:sz w:val="26"/>
              </w:rPr>
              <w:t>Phản hồi: Chưa sửa — định dạng của Tổ, xử lý khi hoàn thiện.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kiem_the_thuc.py TT03b, TT05; NĐ 30 (chữ màu đen)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Phần II mục I.1a (địa chỉ Cơ sở 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Khoa ghi "đường Trương Vĩnh Ký, phường Đăk Bla" (thiếu "Tổ 5", bị bỏ trong bản kiểm tra ngày 22/9/2026); mục III Phần III vẫn ghi "Tổ 5" — không thống nhất.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ý kiến người kiểm tra 22/9; thống nhất một cách ghi theo QĐ 1355/QĐ-CĐKT.</w:t>
            </w:r>
          </w:p>
          <w:p>
            <w:pPr>
              <w:spacing w:after="0" w:before="80" w:line="240" w:lineRule="auto"/>
              <w:jc w:val="both"/>
            </w:pPr>
            <w:r>
              <w:rPr>
                <w:rFonts w:ascii="Times New Roman" w:hAnsi="Times New Roman"/>
                <w:b w:val="0"/>
                <w:i w:val="0"/>
                <w:color w:val="FF0000"/>
                <w:sz w:val="26"/>
              </w:rPr>
              <w:t>Phản hồi: Chưa sửa — tôn trọng chỉnh sửa trước đó, chờ xác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(lập luận) — Phần 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Sự cần thiết chưa nêu luận điểm mạnh nhất: Bài sát hạch số 2 bắt buộc cho cả Hạng A1 từ 01/01/2028 (không đầu tư thì mất dịch vụ sát hạch A1, thu 405 triệu đồng năm 2025); chưa dẫn quyền tự chủ theo NĐ 334; thiếu bằng chứng thực tiễn cho Phương án 2.</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theo cách lập luận của Đề án Đăng kiểm (bối cảnh → nhu cầu → năng lực, nghĩa vụ của Trường).</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107/2026/TT-BCA (điểm b khoản 2 Điều 2); NĐ 334/2026/NĐ-CP Điều 7; kho 04-12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(lập luận) — Phần V mục I; Phần VI mục II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Hiệu quả tài chính chỉ ghi "Theo Phụ lục IV"; Kết luận ghi "sẽ được xác định khi có số liệu dự toán"; đoạn cuối đề nghị "Lãnh đạo Trường cho ý kiến" thay vì trình phê duyệt.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Trình bày kết quả tài chính tóm tắt; Kết luận nêu kết quả; trình Hiệu trưởng phê duyệt kèm 4 nội dung cho ý kiến.</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04-12 (Đề án Đăng kiểm, Phần IV, Phần V)</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(pháp lý) — Phần III mục IV.1, V.2đ</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Dẫn "Điều 4 Quy chế kèm QĐ 1976/QĐ-CĐKT" cho nguồn vốn, Quỹ phát triển hoạt động sự nghiệp; Điều 4 là nhiệm vụ, quyền hạn của Trường, không quy định trích lập, sử dụng Quỹ.</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Đơn vị soạn thảo cân nhắc dẫn NĐ 60/2021/NĐ-CP (sửa đổi bởi NĐ 111/2025/NĐ-CP) cho trích lập, sử dụng Quỹ.</w:t>
            </w:r>
          </w:p>
          <w:p>
            <w:pPr>
              <w:spacing w:after="0" w:before="80" w:line="240" w:lineRule="auto"/>
              <w:jc w:val="both"/>
            </w:pPr>
            <w:r>
              <w:rPr>
                <w:rFonts w:ascii="Times New Roman" w:hAnsi="Times New Roman"/>
                <w:b w:val="0"/>
                <w:i w:val="0"/>
                <w:color w:val="FF0000"/>
                <w:sz w:val="26"/>
              </w:rPr>
              <w:t>Phản hồi: Chưa sửa — để đơn vị soạn thảo quyết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02 QĐ 1976 (Quy chế Điều 4); ghi nhớ 00d (NĐ 334 Điều 7.3.a)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(pháp lý) — Phần I mục II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Học từ Đề án Đăng kiểm: Thiếu căn cứ về sử dụng Quỹ phát triển hoạt động sự nghiệp để mua sắm, sửa chữa cơ sở vật chất (TT 56/2022/TT-BTC), hướng dẫn quản lý tài sản công (TT 120/2025/TT-BTC), phân cấp thẩm quyền tài sản công của tỉnh (QĐ 46/2025/QĐ-CTUBND, Điều 14 về Đề án sử dụng tài sản công vào kinh doanh, cho thuê).</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3 căn cứ; thẩm quyền phê duyệt Đề án sử dụng tài sản công ghi theo NĐ 334 và QĐ 46/2025.</w:t>
            </w:r>
          </w:p>
          <w:p>
            <w:pPr>
              <w:spacing w:after="0" w:before="80" w:line="240" w:lineRule="auto"/>
              <w:jc w:val="both"/>
            </w:pPr>
            <w:r>
              <w:rPr>
                <w:rFonts w:ascii="Times New Roman" w:hAnsi="Times New Roman"/>
                <w:b w:val="0"/>
                <w:i w:val="0"/>
                <w:color w:val="FF0000"/>
                <w:sz w:val="26"/>
              </w:rPr>
              <w:t>Phản hồi: Đã sửa trong bản Track Changes v2.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01: TT 56/2022, TT 03/2026, TT 120/2025; QĐ 46/2025 (bản PDF quét, đọc theo metadata — đối chiếu gần đúng)</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Phần II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đầy đủ lặp lại TB 797/TB-CĐKT, QĐ 2047/QĐ-CĐKT, TB 423/TB-SXD sau lần đầu.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Lần sau chỉ ghi tên loại và số, ký hiệu.</w:t>
            </w:r>
          </w:p>
          <w:p>
            <w:pPr>
              <w:spacing w:after="0" w:before="80" w:line="240" w:lineRule="auto"/>
              <w:jc w:val="both"/>
            </w:pPr>
            <w:r>
              <w:rPr>
                <w:rFonts w:ascii="Times New Roman" w:hAnsi="Times New Roman"/>
                <w:b w:val="0"/>
                <w:i w:val="0"/>
                <w:color w:val="FF0000"/>
                <w:sz w:val="26"/>
              </w:rPr>
              <w:t>Phản hồi: Chưa sửa.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 Phụ lục I Phần I Mục II khoản 6 điểm b; Checklist 08 mục 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80" w:after="40"/>
      </w:pPr>
      <w:r>
        <w:rPr>
          <w:rFonts w:ascii="Times New Roman" w:hAnsi="Times New Roman"/>
          <w:b/>
          <w:i/>
          <w:sz w:val="28"/>
        </w:rPr>
        <w:t>4.2. Đối chiếu căn cứ pháp lý với kho 01-Legal-Database</w:t>
      </w:r>
    </w:p>
    <w:tbl>
      <w:tblPr>
        <w:tblStyle w:val="TableGrid"/>
        <w:tblW w:type="auto" w:w="0"/>
        <w:jc w:val="center"/>
        <w:tblLayout w:type="fixed"/>
        <w:tblLook w:firstColumn="1" w:firstRow="1" w:lastColumn="0" w:lastRow="0" w:noHBand="0" w:noVBand="1" w:val="04A0"/>
      </w:tblPr>
      <w:tblGrid>
        <w:gridCol w:w="567"/>
        <w:gridCol w:w="5386"/>
        <w:gridCol w:w="4536"/>
        <w:gridCol w:w="3798"/>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5386"/>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VĂN BẢN TRONG DỰ THẢO</w:t>
            </w:r>
          </w:p>
        </w:tc>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CÓ TRONG KHO 01/02</w:t>
            </w:r>
          </w:p>
        </w:tc>
        <w:tc>
          <w:tcPr>
            <w:tcW w:type="dxa" w:w="379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HIỆU LỰC (21/10/2026)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Trật tự, an toàn giao thông đường bộ</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(01-01) — VBHN 55/VBHN-VPQH chưa có, tra công báo</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Hiệu lực 01/01/2025</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94/2026/NĐ-CP</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(01-04)</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01/7/2026; bãi bỏ NĐ 160/2024/NĐ-CP</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14/2025/TT-BXD; TT 17/2026/TT-BXD; VBHN 27/VBHN-BXD</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01/9/2025; 01/7/2026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107/2026/TT-BCA (QCVN 15:2026/BCA)</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01/7/2026; một số mục từ 01/01/2027, 01/01/2028</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108/2026/TT-BCA</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01/7/2026; nội dung sát hạch mới 01/3/2027; bài số 2 01/01/2028</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334/2026/NĐ-CP</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(01-04)</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05/10/2026; không bãi bỏ NĐ 60/111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287/QĐ-UBND; QĐ 339/QĐ-UBND</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(01-06, 02)</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hiệu lực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1976, 2047, 1777/QĐ-CĐKT; TB 797, 950/TB-CĐKT</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(02)</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hiệu lực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572, 05, 1518, 1557, 1944/QĐ-CĐKT; KH 1790; BC 393; PA 12; GP 58/CSGT(SHLX)</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đối chiếu — đơn vị soạn thảo xác minh</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538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154/2025/TT-BTC (bổ sung)</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 tra Internet</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01/01/2026; thay TT 37/2023/TT-BTC</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Căn cứ pháp lý đúng và còn hiệu lực (đối chiếu chính văn kho 01): NĐ 94/2026/NĐ-CP; TT 14/2025/TT-BXD và TT 17/2026/TT-BXD; TT 107/2026/TT-BCA; TT 108/2026/TT-BCA; QĐ 287/QĐ-UBND. Đề án không dẫn văn bản đã hết hiệu lực (NĐ 160/2024, TT 35/2024, TT 12/2025).</w:t>
      </w:r>
    </w:p>
    <w:p>
      <w:pPr>
        <w:spacing w:after="60" w:line="276" w:lineRule="auto"/>
        <w:jc w:val="both"/>
      </w:pPr>
      <w:r>
        <w:rPr>
          <w:rFonts w:ascii="Times New Roman" w:hAnsi="Times New Roman"/>
          <w:b w:val="0"/>
          <w:i w:val="0"/>
          <w:sz w:val="28"/>
        </w:rPr>
        <w:t>- Điều kiện pháp lý chuyên ngành dẫn đúng: Trung tâm sát hạch loại 3 sát hạch các hạng A1, A, B1 (khoản 4 Điều 3); diện tích trung tâm loại 3 ≥ 4.000 m² (khoản 6 Điều 24); tiêu chuẩn giáo viên thực hành (khoản 2 Điều 10) và thẩm quyền cấp giấy chứng nhận (khoản 1 Điều 11); thủ tục cấp lại giấy phép sát hạch khi thay đổi thiết bị, xe (khoản 1 Điều 29, thời hạn 03 ngày làm việc); xe sát hạch được dùng để đào tạo (điểm d khoản 7 Điều 24); giấy phép sát hạch cấp theo NĐ 160 còn giá trị (khoản 6 Điều 42).</w:t>
      </w:r>
    </w:p>
    <w:p>
      <w:pPr>
        <w:spacing w:after="60" w:line="276" w:lineRule="auto"/>
        <w:jc w:val="both"/>
      </w:pPr>
      <w:r>
        <w:rPr>
          <w:rFonts w:ascii="Times New Roman" w:hAnsi="Times New Roman"/>
          <w:b w:val="0"/>
          <w:i w:val="0"/>
          <w:sz w:val="28"/>
        </w:rPr>
        <w:t>- Khối lượng chương trình Hạng A 32 giờ (20 giờ lý thuyết, 12 giờ thực hành) và Hạng A1 12 giờ khớp Điều 1 TT 17/2026/TT-BXD (VBHN 27).</w:t>
      </w:r>
    </w:p>
    <w:p>
      <w:pPr>
        <w:spacing w:after="60" w:line="276" w:lineRule="auto"/>
        <w:jc w:val="both"/>
      </w:pPr>
      <w:r>
        <w:rPr>
          <w:rFonts w:ascii="Times New Roman" w:hAnsi="Times New Roman"/>
          <w:b w:val="0"/>
          <w:i w:val="0"/>
          <w:sz w:val="28"/>
        </w:rPr>
        <w:t>- Các mốc 01/01/2027, 01/3/2027, 01/01/2028 khớp điều khoản thi hành của TT 107/2026/TT-BCA và TT 108/2026/TT-BCA.</w:t>
      </w:r>
    </w:p>
    <w:p>
      <w:pPr>
        <w:spacing w:after="60" w:line="276" w:lineRule="auto"/>
        <w:jc w:val="both"/>
      </w:pPr>
      <w:r>
        <w:rPr>
          <w:rFonts w:ascii="Times New Roman" w:hAnsi="Times New Roman"/>
          <w:b w:val="0"/>
          <w:i w:val="0"/>
          <w:sz w:val="28"/>
        </w:rPr>
        <w:t>- Số liệu: Bảng 3, Bảng 4, Bảng 5 cộng ngang, cộng dọc khớp; Bảng 1 phần viên chức của Khoa khớp; Bảng 7 khớp phương pháp nêu trong lời văn (nhu cầu 650 học viên × 70%, tăng 15%/năm, năm 2027 tính 5 tháng); Bảng 10 cộng khớp 1.730,2 triệu đồng.</w:t>
      </w:r>
    </w:p>
    <w:p>
      <w:pPr>
        <w:spacing w:after="60" w:line="276" w:lineRule="auto"/>
        <w:jc w:val="both"/>
      </w:pPr>
      <w:r>
        <w:rPr>
          <w:rFonts w:ascii="Times New Roman" w:hAnsi="Times New Roman"/>
          <w:b w:val="0"/>
          <w:i w:val="0"/>
          <w:sz w:val="28"/>
        </w:rPr>
        <w:t>- Mô hình Phụ lục IV/V tính lại độc lập cho lợi nhuận sau thuế khớp 5/5 năm (−68,48; 98,39; 164,57; 239,26; 326,11 triệu đồng).</w:t>
      </w:r>
    </w:p>
    <w:p>
      <w:pPr>
        <w:spacing w:after="60" w:line="276" w:lineRule="auto"/>
        <w:jc w:val="both"/>
      </w:pPr>
      <w:r>
        <w:rPr>
          <w:rFonts w:ascii="Times New Roman" w:hAnsi="Times New Roman"/>
          <w:b w:val="0"/>
          <w:i w:val="0"/>
          <w:sz w:val="28"/>
        </w:rPr>
        <w:t>- Bố cục 6 phần, cách đặt bảng, lộ trình, quản trị rủi ro tương đương Đề án Trung tâm Đăng kiểm (kho 04-12). Không có từ "đảm bảo"; tên Cơ sở 4 ghi đúng QĐ 1355/QĐ-CĐKT; tên bộ môn khớp danh mục 15 bộ môn.</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567"/>
        <w:gridCol w:w="8505"/>
        <w:gridCol w:w="2835"/>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850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85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85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19</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85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85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r>
          </w:p>
        </w:tc>
        <w:tc>
          <w:tcPr>
            <w:tcW w:type="dxa" w:w="85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Tổng cộng</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30</w:t>
            </w:r>
          </w:p>
        </w:tc>
      </w:tr>
    </w:tbl>
    <w:p>
      <w:pPr>
        <w:spacing w:after="40"/>
      </w:pPr>
    </w:p>
    <w:tbl>
      <w:tblPr>
        <w:tblStyle w:val="TableGrid"/>
        <w:tblW w:type="auto" w:w="0"/>
        <w:jc w:val="center"/>
        <w:tblLayout w:type="fixed"/>
        <w:tblLook w:firstColumn="1" w:firstRow="1" w:lastColumn="0" w:lastRow="0" w:noHBand="0" w:noVBand="1" w:val="04A0"/>
      </w:tblPr>
      <w:tblGrid>
        <w:gridCol w:w="567"/>
        <w:gridCol w:w="4536"/>
        <w:gridCol w:w="2835"/>
        <w:gridCol w:w="3969"/>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28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c>
          <w:tcPr>
            <w:tcW w:type="dxa" w:w="39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ĐÃ SỬA TRONG BẢN V2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Mức 1</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Mức 2</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Mức 3</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Mức 4</w:t>
            </w:r>
          </w:p>
        </w:tc>
        <w:tc>
          <w:tcPr>
            <w:tcW w:type="dxa" w:w="28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ind w:firstLine="567"/>
        <w:jc w:val="both"/>
      </w:pPr>
      <w:r>
        <w:rPr>
          <w:rFonts w:ascii="Times New Roman" w:hAnsi="Times New Roman"/>
          <w:b w:val="0"/>
          <w:i w:val="0"/>
          <w:sz w:val="28"/>
        </w:rPr>
        <w:t>Phạm vi: Phương án tài chính (Phụ lục IV, V); chỉ tiêu tuyển sinh (Bảng 7); năng lực đào tạo; điều kiện kỹ thuật sân, xe, thiết bị so với NĐ 94/2026/NĐ-CP và QCVN 15:2026/BCA; mức học phí so với thị trường.</w:t>
      </w:r>
    </w:p>
    <w:p>
      <w:pPr>
        <w:spacing w:after="60" w:line="276" w:lineRule="auto"/>
        <w:ind w:firstLine="567"/>
        <w:jc w:val="both"/>
      </w:pPr>
      <w:r>
        <w:rPr>
          <w:rFonts w:ascii="Times New Roman" w:hAnsi="Times New Roman"/>
          <w:b w:val="0"/>
          <w:i w:val="0"/>
          <w:sz w:val="28"/>
        </w:rPr>
        <w:t>Giới hạn: Không thẩm định định mức kỹ thuật, bản vẽ sân, đơn giá thiết bị, mức khoán hợp lý về chuyên môn tài chính; không đối chiếu được chính văn NĐ 320/2025/NĐ-CP và TT 23/2023/TT-BTC (kho chưa có). Chỉ kiểm logic nội bộ và đối chiếu văn bản chuyên ngành.</w:t>
      </w:r>
    </w:p>
    <w:p>
      <w:pPr>
        <w:spacing w:after="60" w:line="276" w:lineRule="auto"/>
        <w:ind w:firstLine="567"/>
        <w:jc w:val="both"/>
      </w:pPr>
      <w:r>
        <w:rPr>
          <w:rFonts w:ascii="Times New Roman" w:hAnsi="Times New Roman"/>
          <w:b w:val="0"/>
          <w:i w:val="0"/>
          <w:sz w:val="28"/>
        </w:rPr>
        <w:t>Kết quả tài chính: Tính lại mô hình cho kết quả lợi nhuận khớp; thời gian hoàn vốn đúng là khoảng 4,86 năm (không phải 3,83). Độ nhạy theo số học viên Hạng A: Đạt 70% kế hoạch thì dòng tiền 5 năm khoảng 1.075 triệu đồng, chưa hoàn vốn; đạt 50% thì lợi nhuận sau thuế âm đến năm thứ ba. Nếu lấy vốn đầu tư mới 1.730,2 triệu đồng làm mẫu số, kịch bản 100% cũng chưa hoàn vốn trong 5 năm.</w:t>
      </w:r>
    </w:p>
    <w:p>
      <w:pPr>
        <w:spacing w:after="60" w:line="276" w:lineRule="auto"/>
        <w:ind w:firstLine="567"/>
        <w:jc w:val="both"/>
      </w:pPr>
      <w:r>
        <w:rPr>
          <w:rFonts w:ascii="Times New Roman" w:hAnsi="Times New Roman"/>
          <w:b w:val="0"/>
          <w:i w:val="0"/>
          <w:sz w:val="28"/>
        </w:rPr>
        <w:t>Chỉ tiêu tuyển sinh: Chỉ tiêu dựa trên giả định Trường chiếm 70% nhu cầu Hạng A phía Tây, trong khi thị phần Hạng A1 hiện của Trường khoảng 28–30%. Nếu thị phần Hạng A tương đương Hạng A1, số học viên chỉ khoảng 40% kế hoạch. Tỷ lệ Hạng A trong tổng thí sinh mô tô ở một số địa phương còn thấp (Hà Nội 15/8–14/9/2025: 208 thí sinh Hạng A so với 14.647 thí sinh Hạng A1 — baomoi.com 16/9/2025).</w:t>
      </w:r>
    </w:p>
    <w:p>
      <w:pPr>
        <w:spacing w:after="60" w:line="276" w:lineRule="auto"/>
        <w:ind w:firstLine="567"/>
        <w:jc w:val="both"/>
      </w:pPr>
      <w:r>
        <w:rPr>
          <w:rFonts w:ascii="Times New Roman" w:hAnsi="Times New Roman"/>
          <w:b w:val="0"/>
          <w:i w:val="0"/>
          <w:sz w:val="28"/>
        </w:rPr>
        <w:t>Năng lực đào tạo: Năm 2031, 920 học viên × 12 giờ thực hành = 11.040 giờ xe/năm, chia cho 09 xe tập lái khoảng 1.230 giờ/xe/năm, khả thi nếu bố trí ca học hợp lý. Từ 01/3/2027, sát hạch lý thuyết theo nội dung mới của TT 108/2026/TT-BCA; chương trình, giáo trình Hạng A cần cập nhật theo bộ câu hỏi mới.</w:t>
      </w:r>
    </w:p>
    <w:p>
      <w:pPr>
        <w:spacing w:after="60" w:line="276" w:lineRule="auto"/>
        <w:ind w:firstLine="567"/>
        <w:jc w:val="both"/>
      </w:pPr>
      <w:r>
        <w:rPr>
          <w:rFonts w:ascii="Times New Roman" w:hAnsi="Times New Roman"/>
          <w:b w:val="0"/>
          <w:i w:val="0"/>
          <w:sz w:val="28"/>
        </w:rPr>
        <w:t>Học phí: 2,35 triệu đồng/học viên nằm trong khoảng tham khảo (một số nguồn công bố học phí trọn gói Hạng A 1,9–2,6 triệu đồng; Gia Lai khoảng 2,8 triệu đồng theo Khoa). Cần giải trình cơ cấu giá vì học phí Hạng A1 của Trường là 378.000 đồng (QĐ 572).</w:t>
      </w:r>
    </w:p>
    <w:p>
      <w:pPr>
        <w:spacing w:after="60" w:line="276" w:lineRule="auto"/>
        <w:ind w:firstLine="567"/>
        <w:jc w:val="both"/>
      </w:pPr>
      <w:r>
        <w:rPr>
          <w:rFonts w:ascii="Times New Roman" w:hAnsi="Times New Roman"/>
          <w:b w:val="0"/>
          <w:i w:val="0"/>
          <w:sz w:val="28"/>
        </w:rPr>
        <w:t>Cơ chế khoán: Tổng khoán trực tiếp 67% học phí, cao hơn mức 55–60% đã khảo sát; cộng chi quản lý thì gần 80%.</w:t>
      </w:r>
    </w:p>
    <w:p>
      <w:pPr>
        <w:spacing w:after="60" w:line="276" w:lineRule="auto"/>
        <w:ind w:firstLine="567"/>
        <w:jc w:val="both"/>
      </w:pPr>
      <w:r>
        <w:rPr>
          <w:rFonts w:ascii="Times New Roman" w:hAnsi="Times New Roman"/>
          <w:b w:val="0"/>
          <w:i w:val="0"/>
          <w:sz w:val="28"/>
        </w:rPr>
        <w:t>Đề nghị thẩm định bổ sung: Phòng TC-KT (phương án tài chính, thuế, nguồn vốn); phòng QLĐT&amp;BĐCL (chương trình Hạng A theo TT 108); khoa ĐT&amp;SHLX (đo đạc hiện trạng sân, Bảng 1); phòng TH-HC&amp;QT (thiết kế, dự toán sân bài số 2).</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Mức độ tuân thủ pháp luật: ĐẠT CÓ ĐIỀU KIỆN. Hướng pháp lý chính (bổ sung Hạng A vào giấy phép sát hạch trung tâm loại 3) đúng NĐ 94/2026/NĐ-CP; căn cứ còn hiệu lực. Điều kiện: Giải quyết 4 vấn đề Mức 1 — công thức hoàn vốn (đã sửa), nguồn vốn đầu tư (chờ phòng TC-KT), kinh phí hạng mục bắt buộc trước 01/01/2027 (chờ Hiệu trưởng), Đề án sử dụng tài sản công cho thuê (đã ghi rõ, phải lập).</w:t>
      </w:r>
    </w:p>
    <w:p>
      <w:pPr>
        <w:spacing w:after="60" w:line="276" w:lineRule="auto"/>
        <w:ind w:firstLine="567"/>
        <w:jc w:val="both"/>
      </w:pPr>
      <w:r>
        <w:rPr>
          <w:rFonts w:ascii="Times New Roman" w:hAnsi="Times New Roman"/>
          <w:b w:val="0"/>
          <w:i w:val="0"/>
          <w:sz w:val="28"/>
        </w:rPr>
        <w:t>Mức độ sẵn sàng phát hành: CẦN CHỈNH SỬA TRƯỚC KHI TRÌNH. Bản v2 đã xử lý 21/30 vấn đề; còn nguồn vốn, các giả định tài chính, đo đạc sân, Bảng 1; trước khi trình phải chấp nhận Track Changes, xóa 45 comment, cập nhật mục lục (F9).</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Số liệu thực trạng có nguồn rõ (Sở Xây dựng, Phòng CSGT, Khoa); điều kiện nhà giáo cập nhật đến Quyết định 916/QĐ-SXD; bảng đối chiếu QCVN 15:2026/BCA chi tiết; lộ trình bám các mốc pháp lý 2027–2028; có quản trị rủi ro.</w:t>
      </w:r>
    </w:p>
    <w:p>
      <w:pPr>
        <w:spacing w:after="60" w:line="276" w:lineRule="auto"/>
        <w:jc w:val="both"/>
      </w:pPr>
      <w:r>
        <w:rPr>
          <w:rFonts w:ascii="Times New Roman" w:hAnsi="Times New Roman"/>
          <w:b w:val="0"/>
          <w:i w:val="0"/>
          <w:sz w:val="28"/>
        </w:rPr>
        <w:t>1. Khoa ĐT&amp;SHLX chủ trì hệ thống truyền dữ liệu giám sát sát hạch và định danh điện tử trước 01/01/2027, sử dụng kinh phí chi thường xuyên của Trường, không tính vào kinh phí của Đề án.</w:t>
      </w:r>
    </w:p>
    <w:p>
      <w:pPr>
        <w:spacing w:after="60" w:line="276" w:lineRule="auto"/>
        <w:jc w:val="both"/>
      </w:pPr>
      <w:r>
        <w:rPr>
          <w:rFonts w:ascii="Times New Roman" w:hAnsi="Times New Roman"/>
          <w:b w:val="0"/>
          <w:i w:val="0"/>
          <w:sz w:val="28"/>
        </w:rPr>
        <w:t>2. Phòng TC-KT bổ sung bảng nguồn vốn, dự phòng; chốt phương pháp tính vốn đầu tư, phân bổ phần dùng chung, thuế, lượt sát hạch 2027–2028 (các ô tô cam trong Excel).</w:t>
      </w:r>
    </w:p>
    <w:p>
      <w:pPr>
        <w:spacing w:after="60" w:line="276" w:lineRule="auto"/>
        <w:jc w:val="both"/>
      </w:pPr>
      <w:r>
        <w:rPr>
          <w:rFonts w:ascii="Times New Roman" w:hAnsi="Times New Roman"/>
          <w:b w:val="0"/>
          <w:i w:val="0"/>
          <w:sz w:val="28"/>
        </w:rPr>
        <w:t>3. Tổ xây dựng Đề án xem xét bản v2: chấp nhận/từ chối từng thay đổi (lọc theo hai tác giả "Thẩm định 21/10/2026" và "Chuẩn hóa văn phong, 897").</w:t>
      </w:r>
    </w:p>
    <w:p>
      <w:pPr>
        <w:spacing w:after="60" w:line="276" w:lineRule="auto"/>
        <w:jc w:val="both"/>
      </w:pPr>
      <w:r>
        <w:rPr>
          <w:rFonts w:ascii="Times New Roman" w:hAnsi="Times New Roman"/>
          <w:b w:val="0"/>
          <w:i w:val="0"/>
          <w:sz w:val="28"/>
        </w:rPr>
        <w:t>4. Khoa ĐT&amp;SHLX đo đạc hiện trạng sân sát hạch, kiểm Bảng 1, xác nhận địa chỉ Cơ sở 4.</w:t>
      </w:r>
    </w:p>
    <w:p>
      <w:pPr>
        <w:spacing w:after="60" w:line="276" w:lineRule="auto"/>
        <w:jc w:val="both"/>
      </w:pPr>
      <w:r>
        <w:rPr>
          <w:rFonts w:ascii="Times New Roman" w:hAnsi="Times New Roman"/>
          <w:b w:val="0"/>
          <w:i w:val="0"/>
          <w:sz w:val="28"/>
        </w:rPr>
        <w:t>5. Hoàn thiện định dạng, xóa ghi chú, cập nhật mục lục (22/10/2026); thông qua tại Hội nghị giao ban sáng thứ Hai, ngày 26/10/2026; trình Hiệu trưởng trước 30/10/2026.</w:t>
      </w:r>
    </w:p>
    <w:p>
      <w:pPr>
        <w:spacing w:after="60" w:line="276" w:lineRule="auto"/>
        <w:ind w:firstLine="567"/>
        <w:jc w:val="both"/>
      </w:pPr>
      <w:r>
        <w:rPr>
          <w:rFonts w:ascii="Times New Roman" w:hAnsi="Times New Roman"/>
          <w:b w:val="0"/>
          <w:i w:val="0"/>
          <w:sz w:val="28"/>
        </w:rPr>
        <w:t>Rủi ro nếu không sửa: Mức 1 — Đề án phê duyệt khi chưa rõ nguồn vốn, hoàn vốn sai; Trung tâm sát hạch không đáp ứng điều kiện 01/01/2027; thu cho thuê tài sản công khi chưa có Đề án sử dụng tài sản công. Mức 2 — hồ sơ cấp lại giấy phép sát hạch dẫn sai điều kiện; số liệu mâu thuẫn làm giảm độ tin cậy khi giải trình.</w:t>
      </w:r>
    </w:p>
    <w:p>
      <w:pPr>
        <w:spacing w:before="200" w:after="80"/>
      </w:pPr>
      <w:r>
        <w:rPr>
          <w:rFonts w:ascii="Times New Roman" w:hAnsi="Times New Roman"/>
          <w:b/>
          <w:i w:val="0"/>
          <w:color w:val="7030A0"/>
          <w:sz w:val="28"/>
        </w:rPr>
        <w:t>PHẦN VIII. PHÂN TÍCH KHẢ THI VÀ RỦI RO</w:t>
      </w:r>
    </w:p>
    <w:p>
      <w:pPr>
        <w:spacing w:after="60" w:line="276" w:lineRule="auto"/>
        <w:jc w:val="both"/>
      </w:pPr>
      <w:r>
        <w:rPr>
          <w:rFonts w:ascii="Times New Roman" w:hAnsi="Times New Roman"/>
          <w:b w:val="0"/>
          <w:i/>
          <w:sz w:val="28"/>
        </w:rPr>
        <w:t>Các nhận định dưới đây mang tính tư vấn, dựa trên kinh nghiệm thực tiễn, không phải là lỗi vi phạm quy định.</w:t>
      </w:r>
    </w:p>
    <w:p>
      <w:pPr>
        <w:spacing w:after="60" w:line="276" w:lineRule="auto"/>
        <w:ind w:firstLine="567"/>
        <w:jc w:val="both"/>
      </w:pPr>
      <w:r>
        <w:rPr>
          <w:rFonts w:ascii="Times New Roman" w:hAnsi="Times New Roman"/>
          <w:b w:val="0"/>
          <w:i w:val="0"/>
          <w:sz w:val="28"/>
        </w:rPr>
        <w:t>(1) Tính khả thi tổng thể: Khả thi về pháp lý và tổ chức vì Trường đã có trung tâm sát hạch loại 3, đội ngũ có giấy chứng nhận Hạng A và kinh nghiệm Hạng A1; bài sát hạch số 2 là khoản phải đầu tư để giữ dịch vụ Hạng A1, nên rủi ro đầu tư thừa thấp.</w:t>
      </w:r>
    </w:p>
    <w:p>
      <w:pPr>
        <w:spacing w:after="60" w:line="276" w:lineRule="auto"/>
        <w:ind w:firstLine="567"/>
        <w:jc w:val="both"/>
      </w:pPr>
      <w:r>
        <w:rPr>
          <w:rFonts w:ascii="Times New Roman" w:hAnsi="Times New Roman"/>
          <w:b w:val="0"/>
          <w:i w:val="0"/>
          <w:sz w:val="28"/>
        </w:rPr>
        <w:t>(2) Nguồn lực: Vốn đầu tư khoảng 1,7 tỷ đồng nằm trong khả năng nguồn thu (chênh lệch thu – chi đào tạo, sát hạch năm 2025 là 1.667 triệu đồng). Điểm nghẽn là thời gian: Sân, xe, thiết bị, cấp lại giấy phép trong khoảng 8 tháng năm 2027.</w:t>
      </w:r>
    </w:p>
    <w:p>
      <w:pPr>
        <w:spacing w:after="60" w:line="276" w:lineRule="auto"/>
        <w:ind w:firstLine="567"/>
        <w:jc w:val="both"/>
      </w:pPr>
      <w:r>
        <w:rPr>
          <w:rFonts w:ascii="Times New Roman" w:hAnsi="Times New Roman"/>
          <w:b w:val="0"/>
          <w:i w:val="0"/>
          <w:sz w:val="28"/>
        </w:rPr>
        <w:t>(3) Rủi ro triển khai: Thị phần thấp hơn giả định 70% (cạnh tranh từ trung tâm phía Đông và cơ sở phía Tây có trung tâm sát hạch); xã hội hóa xe tập lái Hạng A khó hơn Hạng A1 do giá xe cao.</w:t>
      </w:r>
    </w:p>
    <w:p>
      <w:pPr>
        <w:spacing w:after="60" w:line="276" w:lineRule="auto"/>
        <w:ind w:firstLine="567"/>
        <w:jc w:val="both"/>
      </w:pPr>
      <w:r>
        <w:rPr>
          <w:rFonts w:ascii="Times New Roman" w:hAnsi="Times New Roman"/>
          <w:b w:val="0"/>
          <w:i w:val="0"/>
          <w:sz w:val="28"/>
        </w:rPr>
        <w:t>(4) Tính nhất quán quản lý: Nên ghép nhiệm vụ định danh, truyền dữ liệu, bài số 2 và Hạng A vào một kế hoạch đầu tư chung của Trung tâm sát hạch để tránh mua sắm manh mún, khác nhà cung cấp, khó kết nối.</w:t>
      </w:r>
    </w:p>
    <w:p>
      <w:pPr>
        <w:spacing w:after="60" w:line="276" w:lineRule="auto"/>
        <w:ind w:firstLine="567"/>
        <w:jc w:val="both"/>
      </w:pPr>
      <w:r>
        <w:rPr>
          <w:rFonts w:ascii="Times New Roman" w:hAnsi="Times New Roman"/>
          <w:b w:val="0"/>
          <w:i w:val="0"/>
          <w:sz w:val="28"/>
        </w:rPr>
        <w:t>(5) Góc nhìn người thực thi: Khoán 67% học phí kèm giờ thực hành gấp 4 lần Hạng A1 có thể khó thu hút nhà đầu tư xe; nên thử khóa đầu (2027) rồi điều chỉnh khoán theo số liệu thực tế.</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đủ 4 nhóm tiêu chí; mỗi vấn đề có vị trí, căn cứ, kiến nghị; không có hai dòng trùng một vấn đề.</w:t>
      </w:r>
    </w:p>
    <w:p>
      <w:pPr>
        <w:spacing w:after="60" w:line="276" w:lineRule="auto"/>
        <w:jc w:val="both"/>
      </w:pPr>
      <w:r>
        <w:rPr>
          <w:rFonts w:ascii="Times New Roman" w:hAnsi="Times New Roman"/>
          <w:b w:val="0"/>
          <w:i w:val="0"/>
          <w:sz w:val="28"/>
        </w:rPr>
        <w:t>- Đã đối chiếu với lần rà soát trước (phiếu thẩm định ngày 21/10/2026) và bản kiểm tra ngày 22/9/2026: Không đảo ngược chỉnh sửa của người kiểm tra (địa chỉ Tổ 5 ghi là vấn đề chờ xác nhận).</w:t>
      </w:r>
    </w:p>
    <w:p>
      <w:pPr>
        <w:spacing w:after="60" w:line="276" w:lineRule="auto"/>
        <w:jc w:val="both"/>
      </w:pPr>
      <w:r>
        <w:rPr>
          <w:rFonts w:ascii="Times New Roman" w:hAnsi="Times New Roman"/>
          <w:b w:val="0"/>
          <w:i w:val="0"/>
          <w:sz w:val="28"/>
        </w:rPr>
        <w:t>- Tách bạch: Lỗi (Phần II), nội dung đạt (Phần III), nhận định tư vấn (Phần VIII).</w:t>
      </w:r>
    </w:p>
    <w:p>
      <w:pPr>
        <w:spacing w:after="60" w:line="276" w:lineRule="auto"/>
        <w:jc w:val="both"/>
      </w:pPr>
      <w:r>
        <w:rPr>
          <w:rFonts w:ascii="Times New Roman" w:hAnsi="Times New Roman"/>
          <w:b w:val="0"/>
          <w:i w:val="0"/>
          <w:sz w:val="28"/>
        </w:rPr>
        <w:t>- Nội dung chưa đủ căn cứ kết luận: Thuế (NĐ 320/2025 chưa có trong kho), văn bản nội bộ không có trong kho (Phần I).</w:t>
      </w:r>
    </w:p>
    <w:p>
      <w:pPr>
        <w:spacing w:after="60" w:line="276" w:lineRule="auto"/>
        <w:jc w:val="both"/>
      </w:pPr>
      <w:r>
        <w:rPr>
          <w:rFonts w:ascii="Times New Roman" w:hAnsi="Times New Roman"/>
          <w:b w:val="0"/>
          <w:i w:val="0"/>
          <w:sz w:val="28"/>
        </w:rPr>
        <w:t>- Đã xuất PDF bản Đề án v2 sau khi chấp nhận Track Changes để kiểm khổ giấy, số trang; chưa rà PDF từng trang của phụ lục.</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De_cuong_De_an_Hang_A_cap-nhat-21.10.docx và Phu Lục V_Bang tinh hieu qua dau tu đe a A.xlsx (thư mục OneDrive "4. Đề án làn 1"). Kho 01: NĐ 94/2026/NĐ-CP; VBHN 27/VBHN-BXD (TT 14/2025/TT-BXD, TT 17/2026/TT-BXD); TT 107/2026/TT-BCA; TT 108/2026/TT-BCA; TT 12/2025/TT-BCA; NĐ 160/2024/NĐ-CP; Luật Trật tự, an toàn giao thông đường bộ; NĐ 334/2026/NĐ-CP; QĐ 287/QĐ-UBND; QĐ 339/QĐ-UBND. Kho 02: QĐ 1976/QĐ-CĐKT; QĐ 2047/QĐ-CĐKT; QĐ 1777/QĐ-CĐKT; TB 797/TB-CĐKT; TB 950/TB-CĐKT; TB 162/TB-SXD; Giấy phép đào tạo lái xe ô tô mã số 51012-01/2026 (kèm CV 6099/SXD-VTPT). Kho 03-Templates(1): 06A-Bao-cao-noi-bo.dotx. Kho 04-12: Đề án Trung tâm Đăng kiểm (dự thảo lần 4; bản lần 6 ngày 21/10/2026). Internet (21/10/2026): Congbao.chinhphu.vn (VBHN 55/VBHN-VPQH); thuvienphapluat.vn, luatvietnam.vn (TT 154/2025/TT-BTC); vtv.vn (19/7/2025); baomoi.com (16/9/2025); luatvietnam.vn (CV 74/TCT-CS) · Công cụ hỗ trợ: Hệ KTC-Ra-Soat-897-v2-Cai-tien (Skill ktc-ra-soat-897, v2.25), chạy ngày 21/10/2026.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 và tên], phòng Tổng hợp - Hành chính và Quản trị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5374</Words>
  <Characters>21149</Characters>
  <Application>Microsoft Macintosh Word</Application>
  <DocSecurity>0</DocSecurity>
  <Lines>0</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