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KTC-RA-SOAT-897-V2-CAI-TIEN</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Bộ hồ sơ trình giao ban Lãnh đạo: Đề án triển khai đào tạo và sát hạch lái xe mô tô Hạng A; Tờ trình; dự thảo Quyết định phê duyệt; file Excel PL-V (lần 3)</w:t>
      </w:r>
    </w:p>
    <w:p>
      <w:pPr>
        <w:jc w:val="center"/>
      </w:pPr>
      <w:r>
        <w:rPr>
          <w:rFonts w:ascii="Times New Roman" w:hAnsi="Times New Roman"/>
          <w:b w:val="0"/>
          <w:i w:val="0"/>
          <w:sz w:val="26"/>
        </w:rPr>
        <w:t xml:space="preserve">Ngày rà soát: </w:t>
      </w:r>
      <w:r>
        <w:rPr>
          <w:rFonts w:ascii="Times New Roman" w:hAnsi="Times New Roman"/>
          <w:b/>
          <w:i w:val="0"/>
          <w:sz w:val="26"/>
        </w:rPr>
        <w:t>22/10/2026</w:t>
      </w:r>
      <w:r>
        <w:rPr>
          <w:rFonts w:ascii="Times New Roman" w:hAnsi="Times New Roman"/>
          <w:b w:val="0"/>
          <w:i w:val="0"/>
          <w:sz w:val="26"/>
        </w:rPr>
        <w:t xml:space="preserve">  |  Đơn vị soạn thảo: </w:t>
      </w:r>
      <w:r>
        <w:rPr>
          <w:rFonts w:ascii="Times New Roman" w:hAnsi="Times New Roman"/>
          <w:b/>
          <w:i w:val="0"/>
          <w:sz w:val="26"/>
        </w:rPr>
        <w:t>Tổ xây dựng Đề án (Phòng Tổng hợp - Hành chính và Quản trị phối hợp)</w:t>
      </w:r>
      <w:r>
        <w:rPr>
          <w:rFonts w:ascii="Times New Roman" w:hAnsi="Times New Roman"/>
          <w:b w:val="0"/>
          <w:i w:val="0"/>
          <w:sz w:val="26"/>
        </w:rPr>
        <w:t xml:space="preserve">  |  Thẩm quyền: </w:t>
      </w:r>
      <w:r>
        <w:rPr>
          <w:rFonts w:ascii="Times New Roman" w:hAnsi="Times New Roman"/>
          <w:b/>
          <w:i w:val="0"/>
          <w:sz w:val="26"/>
        </w:rPr>
        <w:t>Hiệu trưởng Trường Cao đẳng Kon Tum</w:t>
      </w:r>
    </w:p>
    <w:p>
      <w:pPr>
        <w:spacing w:before="200" w:after="80"/>
      </w:pPr>
      <w:r>
        <w:rPr>
          <w:rFonts w:ascii="Times New Roman" w:hAnsi="Times New Roman"/>
          <w:b/>
          <w:i w:val="0"/>
          <w:color w:val="7030A0"/>
          <w:sz w:val="28"/>
        </w:rPr>
        <w:t>PHẦN I. THÔNG TIN CHUNG</w:t>
      </w:r>
    </w:p>
    <w:tbl>
      <w:tblPr>
        <w:tblStyle w:val="TableGrid"/>
        <w:tblW w:type="auto" w:w="0"/>
        <w:jc w:val="center"/>
        <w:tblLayout w:type="fixed"/>
        <w:tblLook w:firstColumn="1" w:firstRow="1" w:lastColumn="0" w:lastRow="0" w:noHBand="0" w:noVBand="1" w:val="04A0"/>
      </w:tblPr>
      <w:tblGrid>
        <w:gridCol w:w="2778"/>
        <w:gridCol w:w="11680"/>
      </w:tblGrid>
      <w:tr>
        <w:trPr>
          <w:cantSplit w:val="0"/>
          <w:tblHeader w:val="1"/>
        </w:trPr>
        <w:tc>
          <w:tcPr>
            <w:tcW w:type="dxa" w:w="277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w:t>
            </w:r>
          </w:p>
        </w:tc>
        <w:tc>
          <w:tcPr>
            <w:tcW w:type="dxa" w:w="1167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Hệ quy chiếu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Hành chính nhà nước (NĐ 30/2020/NĐ-CP, Phụ lục I; TB 597/TB-CĐKT; Checklist 01–05, 07, 08). Căn cứ chọn: dự thảo Quyết định của Hiệu trưởng, Tờ trình và Đề án nội bộ, không phải văn bản Đảng, VBQPPL hay đoàn thể.</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Loại văn bản / hồ sơ</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 Đề án (6 phần + Phụ lục I–IV); (2) Tờ trình đề nghị phê duyệt kèm Phụ lục gói thầu; (3) dự thảo Quyết định phê duyệt Đề án; (4) PL-V_Bang-tinh-hieu-qua-Hang-A_20261021_v2 (9 trang tính). Đối chiếu thêm Phiếu thẩm định lần 1 (30 vấn đề) và Phân tích hạng mục đầu tư, chỉ định thầu.</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Cơ quan ban hành / thẩm quyền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Trường Cao đẳng Kon Tum; Quyết định do Hiệu trưởng ký. Hình thức phát hành chưa xác định (giấy hay điện tử): không nêu lỗi về dòng “Ban hành kèm theo…”, số, ngày.</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Tình trạng trong chuỗi rà soát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Lần 3 (sau lần 1 ngày 21/10/2026). Mục tiêu: giao ban Lãnh đạo sáng thứ Hai 26/10/2026; trình Hiệu trưởng phê duyệt trước 30/10/2026; Phòng Tài chính - Kế toán chốt giả định tài chính trước 24/10/2026.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 Drive (đã ĐỌC chính văn)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334/2026/NĐ-CP (toàn văn); NĐ 94/2026/NĐ-CP (toàn văn, đối chiếu Điều 3, 10, 11, 24, 26, 29, 31, 42); TT 107/2026/TT-BCA kèm QCVN 15:2026/BCA (toàn văn, đối chiếu 2.1.5.3, 2.1.13, Điều 2). Đã dùng 5 tệp đầu vào và Phiếu lần 1.</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 Drive (TÌM THẤY, CHƯA đọc đủ trong phiên)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1976/QĐ-CĐKT; QĐ 46/2025/QĐ-CTUBND. Các viện dẫn dưới đây giữ trạng thái “chưa đối chiếu chính văn”: Luật Đầu tư công, Luật Đấu thầu, NĐ 85/2025, NĐ 214/2025 (VBHN 36/2026), NĐ 217/2026, TT 154/2025/TT-BTC, TT 120/2025/TT-BTC, TT 56/2022/TT-BTC (+03/2026), NĐ 320/2025, NĐ 60/2021, NĐ 111/2025, TT 108/2026/TT-BCA, VBHN 27/VBHN-BXD.</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 Internet (tra ngày 22/10/2026, sau khi tra Drive)</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(a) congbao.chinhphu.vn/van-ban/thong-tu-so-17-2026-tt-bxd-469518.htm: TT 17/2026/TT-BXD ban hành 29/04/2026, hiệu lực 01/07/2026 — Còn hiệu lực. (b) cdn.thuvienphapluat.vn/uploads/khoinghiep/2026/05/09/Thong-tu-17-bxd.pdf: Điều 5 khoản 1 — Hạng A tổng 32 giờ (lý thuyết 20: pháp luật 16 + kỹ thuật lái 4; thực hành 12) — khớp Đề án. (c) vanban.chinhphu.vn/?docid=219283 và congbao.chinhphu.vn/van-ban/nghi-dinh-so-334-2026-nd-cp-470356.htm: NĐ 334/2026/NĐ-CP ký 20/08/2026, hiệu lực 05/10/2026 — Còn hiệu lực. Công cụ: Exa, Perplexity (đều khả dụng trong phiên). Nguồn Internet đánh dấu [Internet] và chưa nạp vào KTC-Database.</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Giới hạn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đọc bộ nhớ vận hành 09-Quan-Tri-He (không truy cập trong phiên). Chưa đối chiếu toàn văn các văn bản nêu ở dòng “chưa đọc đủ”; kết luận liên quan chỉ ở mức Mức 2–4 và yêu cầu đơn vị soạn thảo xác nhận. Phần V (tài chính) chỉ đối chiếu logic nội bộ, không thay thế thẩm định của Phòng Tài chính - Kế toán.</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Thời điểm xác minh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22/10/2026</w:t>
            </w:r>
          </w:p>
        </w:tc>
      </w:tr>
    </w:tbl>
    <w:p>
      <w:pPr>
        <w:spacing w:after="40"/>
      </w:pPr>
    </w:p>
    <w:p>
      <w:pPr>
        <w:spacing w:before="200" w:after="80"/>
      </w:pPr>
      <w:r>
        <w:rPr>
          <w:rFonts w:ascii="Times New Roman" w:hAnsi="Times New Roman"/>
          <w:b/>
          <w:i w:val="0"/>
          <w:color w:val="7030A0"/>
          <w:sz w:val="28"/>
        </w:rPr>
        <w:t>PHẦN II. KẾT QUẢ RÀ SOÁT CHI TIẾT</w:t>
      </w:r>
    </w:p>
    <w:tbl>
      <w:tblPr>
        <w:tblStyle w:val="TableGrid"/>
        <w:tblW w:type="auto" w:w="0"/>
        <w:jc w:val="center"/>
        <w:tblLayout w:type="fixed"/>
        <w:tblLook w:firstColumn="1" w:firstRow="1" w:lastColumn="0" w:lastRow="0" w:noHBand="0" w:noVBand="1" w:val="04A0"/>
      </w:tblPr>
      <w:tblGrid>
        <w:gridCol w:w="567"/>
        <w:gridCol w:w="2494"/>
        <w:gridCol w:w="5499"/>
        <w:gridCol w:w="3005"/>
        <w:gridCol w:w="1644"/>
        <w:gridCol w:w="1077"/>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49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49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00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07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Vốn đầu tư không thống nhất giữa Excel, Đề án, Quyết định và Tờ trình</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Excel (Khấu hao, Dự toán thu - chi) tính hoàn vốn trên “nguyên giá sử dụng” 1.505,18 triệu đồng; Đề án (Bảng 10) và Điều 1.4 dự thảo QĐ nêu vốn đầu tư trực tiếp 1.730,2 triệu đồng; Tờ trình nêu tổng mức đầu tư khoảng 2,5–2,8 tỷ đồng. Ba mức vốn cùng xuất hiện trong bộ hồ sơ mà chưa có bảng đối soát. Hệ quả: chênh 225,0 triệu đồng giữa Excel và Bảng 10, và Lãnh đạo chưa thể biết mình phê duyệt con số nào.</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Lập một bảng đối soát duy nhất (cấu phần, số tiền, nguồn) giữa 1.505,18 / 1.730,2 / 2,5–2,8 tỷ; nêu rõ phần nào là kinh phí Đề án, phần nào là kinh phí thường xuyên (hệ thống truyền dữ liệu, định danh); thống nhất một con số trong cả bốn tài liệu.</w:t>
            </w:r>
          </w:p>
          <w:p>
            <w:pPr>
              <w:spacing w:after="0" w:before="80" w:line="240" w:lineRule="auto"/>
              <w:jc w:val="both"/>
            </w:pPr>
            <w:r>
              <w:rPr>
                <w:rFonts w:ascii="Times New Roman" w:hAnsi="Times New Roman"/>
                <w:b w:val="0"/>
                <w:i w:val="0"/>
                <w:color w:val="FF0000"/>
                <w:sz w:val="26"/>
              </w:rPr>
              <w:t>Phản hồi: [Tổ soạn thảo điền]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Tính toán lại từ PL-V (ngày 22/10/2026); Điều 1.4 dự thảo QĐ; TTr</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C00000"/>
                <w:sz w:val="26"/>
              </w:rPr>
              <w:t>Mức 1</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Kết luận “hoàn vốn khoảng 4,9 năm” không còn đúng khi tính trên vốn 1.730,2</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Em tính lại dòng tiền theo Excel (khớp từng năm: 48,12 / 272,64 / 338,82 / 413,51 / 500,35; tổng 1.573,44). Trên vốn 1.505,18: hoàn vốn 4,86 năm (khớp 4,9). Trên vốn 1.730,2: sau 5 năm còn thiếu 156,8 triệu đồng, tức không hoàn vốn trong 5 năm của Đề án. Nếu bổ sung chi phí vệ sinh, bảo dưỡng (giả định 3% doanh thu) thì còn thiếu 149,1 triệu (vốn 1.505,18) và 374,1 triệu (vốn 1.730,2); ở 5% thì thiếu 294,0 và 519,0 triệu. Câu “4,9 năm” là kết luận chủ đạo của Đề án nên không thể để mâu thuẫn với chính Bảng 10.</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Chọn một cơ sở vốn và ghi rõ trong Đề án; nếu giữ 1.730,2 thì sửa kết luận hoàn vốn (hoặc điều chỉnh giả định học phí, quy mô), không giữ “4,9 năm”. Bổ sung phân tích kịch bản vốn trong phần Độ nhạy thay cho số gõ cứng.</w:t>
            </w:r>
          </w:p>
          <w:p>
            <w:pPr>
              <w:spacing w:after="0" w:before="80" w:line="240" w:lineRule="auto"/>
              <w:jc w:val="both"/>
            </w:pPr>
            <w:r>
              <w:rPr>
                <w:rFonts w:ascii="Times New Roman" w:hAnsi="Times New Roman"/>
                <w:b w:val="0"/>
                <w:i w:val="0"/>
                <w:color w:val="FF0000"/>
                <w:sz w:val="26"/>
              </w:rPr>
              <w:t>Phản hồi: [Tổ soạn thảo điền]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PL-V trang tính Dự toán thu - chi, Khấu hao, Độ nhạy; Đề án Bảng 10</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C00000"/>
                <w:sz w:val="26"/>
              </w:rPr>
              <w:t>Mức 1</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Chi phí Giai đoạn 1 phân bổ cho Hạng A bị thấp</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Excel và Đề án chỉ đưa 590 triệu đồng (900/2.000 × 1.310,2) cho sân Giai đoạn 1; trong khi QĐ Điều 1.3c và Đề án mô tả toàn bộ khoảng 2.000 m² là mở rộng “bố trí hình bài sát hạch số 2 dùng chung Hạng A1, Hạng A”. Việc phân bổ theo diện tích 900/2.000 chưa có căn cứ trong Đề án; nếu tính đủ 1.310,2 thì vốn tăng thêm 720,2 triệu đồng.</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Nêu căn cứ phân bổ (hoặc dùng cơ sở dùng chung A1/ô tô có lập luận), kèm phương án tính đủ 1.310,2 trong Độ nhạy.</w:t>
            </w:r>
          </w:p>
          <w:p>
            <w:pPr>
              <w:spacing w:after="0" w:before="80" w:line="240" w:lineRule="auto"/>
              <w:jc w:val="both"/>
            </w:pPr>
            <w:r>
              <w:rPr>
                <w:rFonts w:ascii="Times New Roman" w:hAnsi="Times New Roman"/>
                <w:b w:val="0"/>
                <w:i w:val="0"/>
                <w:color w:val="FF0000"/>
                <w:sz w:val="26"/>
              </w:rPr>
              <w:t>Phản hồi: [Tổ soạn thảo điền]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PL-V trang tính Khấu hao (E13 = 590); Đề án mục Giai đoạn 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Thẩm quyền và nội dung QĐ chưa bao quát chủ trương đầu tư, tài sản công</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1 và Điều 2 dự thảo QĐ chỉ phê duyệt Đề án và giao nhiệm vụ. TTr nêu Hiệu trưởng quyết định chủ trương đầu tư và quyết định đầu tư (NĐ 85/2025), còn Đề án có nội dung sử dụng tài sản công vào hoạt động Hạng A. Dự thảo QĐ chưa có khoản nào về chủ trương đầu tư và về việc sử dụng tài sản công, nên thẩm quyền theo NĐ 334/2026 (Điều 7) chưa thể hiện trong văn bản. Em chưa đối chiếu lại toàn bộ khoản liên quan của Điều 7 trong phiên này.</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Bổ sung khoản “quyết định chủ trương đầu tư” và khoản xác định thẩm quyền, hình thức sử dụng tài sản công theo đúng điều, khoản NĐ 334; người soạn đối chiếu chính văn trước khi ghi.</w:t>
            </w:r>
          </w:p>
          <w:p>
            <w:pPr>
              <w:spacing w:after="0" w:before="80" w:line="240" w:lineRule="auto"/>
              <w:jc w:val="both"/>
            </w:pPr>
            <w:r>
              <w:rPr>
                <w:rFonts w:ascii="Times New Roman" w:hAnsi="Times New Roman"/>
                <w:b w:val="0"/>
                <w:i w:val="0"/>
                <w:color w:val="FF0000"/>
                <w:sz w:val="26"/>
              </w:rPr>
              <w:t>Phản hồi: [Tổ soạn thảo điền]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334/2026 Điều 7, 15, 16 [Drive]; NĐ 85/2025 [chưa đọc]</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Phân công hệ thống truyền dữ liệu giám sát, định danh không thống nhất</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Dự thảo QĐ Điều 2.1 giao Khoa Đào tạo và Sát hạch lái xe chủ trì; Phụ lục III của Đề án có chỗ nêu đơn vị khác. Mốc 01/01/2027 là mốc bắt buộc của NĐ 94/2026 (Điều 24 khoản 5 và 12g; Điều 42 khoản 3 và 7), nên không đủ chỗ cho sai lệch trách nhiệm.</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Thống nhất một đơn vị chủ trì, một đơn vị phối hợp, một mốc (trước 01/01/2027) trong QĐ, Đề án, Phụ lục III.</w:t>
            </w:r>
          </w:p>
          <w:p>
            <w:pPr>
              <w:spacing w:after="0" w:before="80" w:line="240" w:lineRule="auto"/>
              <w:jc w:val="both"/>
            </w:pPr>
            <w:r>
              <w:rPr>
                <w:rFonts w:ascii="Times New Roman" w:hAnsi="Times New Roman"/>
                <w:b w:val="0"/>
                <w:i w:val="0"/>
                <w:color w:val="FF0000"/>
                <w:sz w:val="26"/>
              </w:rPr>
              <w:t>Phản hồi: [Tổ soạn thảo điền]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94/2026 Điều 24, Điều 42 [Drive]</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Diện tích sân sát hạch sát ngưỡng 3.600 m²</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Đề án nêu 3.717,5 m² = 717,5 (sân tập A1 cải tạo) + 2.000 (Giai đoạn 1) + phần sân sát hạch A1 hiện có. 717,5 + 2.000 = 2.717,5 nên phần sân sát hạch hiện có phải là 1.000 m². Nhưng bảng điều kiện (Phụ lục) mô tả sân sát hạch A1 là 40 m × 17,5 m = 700 m². Nếu đúng 700 m² thì tổng 3.417,5 m², thấp hơn 3.600 m² (QCVN 15:2026/BCA mục 2.1.5.3). Biên an toàn tối đa chỉ 117,5 m² (3,3%). Đề án có nói “diện tích chính thức xác định theo bản vẽ”, nhưng QĐ lại ghi “khoảng 2.000 m²”.</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Đo thực tế, ghi rõ diện tích sân sát hạch hiện có (700 hay 1.000 m²); nếu thiếu, tăng quy mô Giai đoạn 1 hoặc chuyển phương án dự phòng (sân tập lái để sát hạch mô tô theo Điều 31 NĐ 94). Không đưa con số khẳng định đạt vào QĐ khi chưa đo.</w:t>
            </w:r>
          </w:p>
          <w:p>
            <w:pPr>
              <w:spacing w:after="0" w:before="80" w:line="240" w:lineRule="auto"/>
              <w:jc w:val="both"/>
            </w:pPr>
            <w:r>
              <w:rPr>
                <w:rFonts w:ascii="Times New Roman" w:hAnsi="Times New Roman"/>
                <w:b w:val="0"/>
                <w:i w:val="0"/>
                <w:color w:val="FF0000"/>
                <w:sz w:val="26"/>
              </w:rPr>
              <w:t>Phản hồi: [Tổ soạn thảo điền]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QCVN 15:2026/BCA 2.1.5.3; NĐ 94 Điều 24 khoản 6, Điều 31 khoản 3 [Drive]</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V được viện dẫn nhưng không nằm trong Đề án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Đề án dẫn “Phụ lục V” (bảng tính hiệu quả); trong khi Đề án chỉ có Phụ lục I–IV. File Excel PL-V tồn tại riêng. Nếu không đính kèm, người đọc không kiểm được kết luận tài chính.</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Đính kèm Excel (bản đã khóa ô công thức) làm Phụ lục V hoặc đổi số Phụ lục; thêm vào danh mục tài liệu kèm theo Tờ trình.</w:t>
            </w:r>
          </w:p>
          <w:p>
            <w:pPr>
              <w:spacing w:after="0" w:before="80" w:line="240" w:lineRule="auto"/>
              <w:jc w:val="both"/>
            </w:pPr>
            <w:r>
              <w:rPr>
                <w:rFonts w:ascii="Times New Roman" w:hAnsi="Times New Roman"/>
                <w:b w:val="0"/>
                <w:i w:val="0"/>
                <w:color w:val="FF0000"/>
                <w:sz w:val="26"/>
              </w:rPr>
              <w:t>Phản hồi: [Tổ soạn thảo điền]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Đề án; TTr</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Thuế TNDN trong năm đầu có lỗ và các khoản còn chờ Phòng Tài chính - Kế toán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Năm 2027 LNST −68,48 triệu đồng; cần xác nhận không tính thuế TNDN trên khoản lỗ và việc chuyển lỗ. Các ô màu cam (chờ Phòng Tài chính - Kế toán) vẫn mở; giả định chốt trước 24/10/2026. Các khoản lần 1 chưa xử lý xong không được tính là đã đạt.</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Phòng Tài chính - Kế toán xác nhận bằng văn bản các ô cam trước 24/10/2026; ghi nhận trong Đề án nếu có thay đổi.</w:t>
            </w:r>
          </w:p>
          <w:p>
            <w:pPr>
              <w:spacing w:after="0" w:before="80" w:line="240" w:lineRule="auto"/>
              <w:jc w:val="both"/>
            </w:pPr>
            <w:r>
              <w:rPr>
                <w:rFonts w:ascii="Times New Roman" w:hAnsi="Times New Roman"/>
                <w:b w:val="0"/>
                <w:i w:val="0"/>
                <w:color w:val="FF0000"/>
                <w:sz w:val="26"/>
              </w:rPr>
              <w:t>Phản hồi: [Tổ soạn thảo điền]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PL-V Dự toán thu - chi; Phiếu lần 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9</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Chi phí vận hành bị bỏ sót hoặc chưa thể hiện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Các dòng bảo dưỡng, vệ sinh sân không có trong Dự toán thu - chi. Ở mức giả định 3–5% doanh thu, hoàn vốn lùi ra ngoài 5 năm trong mọi trường hợp (xem mục 2).</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Bổ sung dòng chi phí hoặc ghi rõ đã tính trong định mức khoán.</w:t>
            </w:r>
          </w:p>
          <w:p>
            <w:pPr>
              <w:spacing w:after="0" w:before="80" w:line="240" w:lineRule="auto"/>
              <w:jc w:val="both"/>
            </w:pPr>
            <w:r>
              <w:rPr>
                <w:rFonts w:ascii="Times New Roman" w:hAnsi="Times New Roman"/>
                <w:b w:val="0"/>
                <w:i w:val="0"/>
                <w:color w:val="FF0000"/>
                <w:sz w:val="26"/>
              </w:rPr>
              <w:t>Phản hồi: [Tổ soạn thảo điền]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PL-V</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10</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Số năm tính lượt sát hạch 2027–2028 chưa khớp quy định mốc</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Hình số 2 (xử lý tình huống giả định trên đường) áp dụng từ 01/01/2028 (TT 107/2026 Điều 2 khoản 2b; QCVN 2.1.13.5). Doanh thu sát hạch Hạng A năm 2027 cần bằng 0 hoặc có căn cứ riêng (sát hạch ở trung tâm khác). Em chưa xác định cách Excel xử lý năm 2027; cần xác nhận.</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Ghi rõ giả định doanh thu sát hạch năm 2027–2028 và đối chiếu mốc 01/01/2028.</w:t>
            </w:r>
          </w:p>
          <w:p>
            <w:pPr>
              <w:spacing w:after="0" w:before="80" w:line="240" w:lineRule="auto"/>
              <w:jc w:val="both"/>
            </w:pPr>
            <w:r>
              <w:rPr>
                <w:rFonts w:ascii="Times New Roman" w:hAnsi="Times New Roman"/>
                <w:b w:val="0"/>
                <w:i w:val="0"/>
                <w:color w:val="FF0000"/>
                <w:sz w:val="26"/>
              </w:rPr>
              <w:t>Phản hồi: [Tổ soạn thảo điền]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107/2026 Điều 2 [Drive]</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của dự thảo Quyết định</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Tám căn cứ trong dự thảo, QĐ 1976 đứng đầu (đúng Checklist 08). Chưa có Luật GDNN số hiệu 124/2025/QH15 (chỉ ghi ngày), chưa có căn cứ về đầu tư/đấu thầu dù Điều 1.6 dẫn pháp luật đấu thầu. Số hiệu và ngày của NĐ 94 (31/3/2026), TT 107 (29/6/2026), TT 17 (29/4/2026), NĐ 334 (20/8/2026) đã đối chiếu đúng.</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Thêm số hiệu Luật GDNN; cân nhắc căn cứ đầu tư công, đấu thầu và tài sản công nếu Quyết định có nội dung đó.</w:t>
            </w:r>
          </w:p>
          <w:p>
            <w:pPr>
              <w:spacing w:after="0" w:before="80" w:line="240" w:lineRule="auto"/>
              <w:jc w:val="both"/>
            </w:pPr>
            <w:r>
              <w:rPr>
                <w:rFonts w:ascii="Times New Roman" w:hAnsi="Times New Roman"/>
                <w:b w:val="0"/>
                <w:i w:val="0"/>
                <w:color w:val="FF0000"/>
                <w:sz w:val="26"/>
              </w:rPr>
              <w:t>Phản hồi: [Tổ soạn thảo điền]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Luật GDNN 124/2025/QH15 (theo căn cứ NĐ 334) [Internet]</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Lề trang của phụ lục (đo bằng công cụ)</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Công cụ cho Lề trái 20 mm ở phần 2 của Tờ trình và các phần 4–6 của Đề án (lề trên 30 mm). Đây là các phần phụ lục hoặc bảng khổ ngang, đánh số riêng, nên không kết luận là lỗi; em chỉ đề nghị xác nhận phần nào là phụ lục.</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Người soạn xác nhận các phần đó là phụ lục khổ ngang; nếu là thân văn bản thì chỉnh về 2–2–3–2 cm (TB 597).</w:t>
            </w:r>
          </w:p>
          <w:p>
            <w:pPr>
              <w:spacing w:after="0" w:before="80" w:line="240" w:lineRule="auto"/>
              <w:jc w:val="both"/>
            </w:pPr>
            <w:r>
              <w:rPr>
                <w:rFonts w:ascii="Times New Roman" w:hAnsi="Times New Roman"/>
                <w:b w:val="0"/>
                <w:i w:val="0"/>
                <w:color w:val="FF0000"/>
                <w:sz w:val="26"/>
              </w:rPr>
              <w:t>Phản hồi: [Tổ soạn thảo điền]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I NĐ 30/2020; TB 597 [công cụ]</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Tên đơn vị trong Điều 2–3 dự thảo QĐ</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Cần đối chiếu cách viết 5 tên đơn vị (Phòng Tổng hợp - Hành chính và Quản trị; Phòng Tài chính - Kế toán; Khoa Đào tạo và Sát hạch lái xe; Phòng Tổ chức cán bộ và Công tác học sinh sinh viên; Phòng Quản lý Đào tạo và Bảo đảm chất lượng) với QĐ 1976 và QĐ 2047. Em chưa đọc đủ QĐ 1976 nên chưa kết luận.</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Đối chiếu với QĐ 1976, 2047; giữ “bảo đảm”, “nhà trường” viết thường.</w:t>
            </w:r>
          </w:p>
          <w:p>
            <w:pPr>
              <w:spacing w:after="0" w:before="80" w:line="240" w:lineRule="auto"/>
              <w:jc w:val="both"/>
            </w:pPr>
            <w:r>
              <w:rPr>
                <w:rFonts w:ascii="Times New Roman" w:hAnsi="Times New Roman"/>
                <w:b w:val="0"/>
                <w:i w:val="0"/>
                <w:color w:val="FF0000"/>
                <w:sz w:val="26"/>
              </w:rPr>
              <w:t>Phản hồi: [Tổ soạn thảo điền]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08 mục 3</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Tuyên bố “không sử dụng ngân sách nhà nước chi cho đầu tư”</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Hệ thống truyền dữ liệu và định danh dùng kinh phí chi thường xuyên (nguồn ngân sách), được ghi “không tính vào kinh phí của Đề án”. Đọc kỹ có thể bị hiểu là Đề án dùng ngân sách. Nên ghi rõ ranh giới hai nguồn.</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Thêm một câu nêu rõ nguồn kinh phí thường xuyên (ngoài Đề án) để tránh hiểu nhầm.</w:t>
            </w:r>
          </w:p>
          <w:p>
            <w:pPr>
              <w:spacing w:after="0" w:before="80" w:line="240" w:lineRule="auto"/>
              <w:jc w:val="both"/>
            </w:pPr>
            <w:r>
              <w:rPr>
                <w:rFonts w:ascii="Times New Roman" w:hAnsi="Times New Roman"/>
                <w:b w:val="0"/>
                <w:i w:val="0"/>
                <w:color w:val="FF0000"/>
                <w:sz w:val="26"/>
              </w:rPr>
              <w:t>Phản hồi: [Tổ soạn thảo điền]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1.1, 1.3c, 1.4 dự thảo QĐ</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tbl>
      <w:tblPr>
        <w:tblStyle w:val="TableGrid"/>
        <w:tblW w:type="auto" w:w="0"/>
        <w:jc w:val="center"/>
        <w:tblLayout w:type="fixed"/>
        <w:tblLook w:firstColumn="1" w:firstRow="1" w:lastColumn="0" w:lastRow="0" w:noHBand="0" w:noVBand="1" w:val="04A0"/>
      </w:tblPr>
      <w:tblGrid>
        <w:gridCol w:w="567"/>
        <w:gridCol w:w="5670"/>
        <w:gridCol w:w="4252"/>
        <w:gridCol w:w="2948"/>
        <w:gridCol w:w="1134"/>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566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 ĐÃ ĐỐI CHIẾU</w:t>
            </w:r>
          </w:p>
        </w:tc>
        <w:tc>
          <w:tcPr>
            <w:tcW w:type="dxa" w:w="4252"/>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KẾT QUẢ</w:t>
            </w:r>
          </w:p>
        </w:tc>
        <w:tc>
          <w:tcPr>
            <w:tcW w:type="dxa" w:w="294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NGUỒN</w:t>
            </w:r>
          </w:p>
        </w:tc>
        <w:tc>
          <w:tcPr>
            <w:tcW w:type="dxa" w:w="113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Loại 3 sát hạch Hạng A1, A và B1; diện tích trung tâm loại 3 ≥ 4.000 m²</w:t>
            </w:r>
          </w:p>
        </w:tc>
        <w:tc>
          <w:tcPr>
            <w:tcW w:type="dxa" w:w="425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Đúng: NĐ 94 Điều 3 khoản 4; Điều 24 khoản 6</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94 [Drive]</w:t>
            </w:r>
          </w:p>
        </w:tc>
        <w:tc>
          <w:tcPr>
            <w:tcW w:type="dxa" w:w="1134"/>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Cấp lại giấy phép sát hạch khi thay đổi thiết bị, số lượng xe; Phòng Cảnh sát giao thông cấp; 03 ngày làm việc</w:t>
            </w:r>
          </w:p>
        </w:tc>
        <w:tc>
          <w:tcPr>
            <w:tcW w:type="dxa" w:w="425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Đúng: Điều 26 khoản 1, 2; Điều 29 khoản 1</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94 [Drive]</w:t>
            </w:r>
          </w:p>
        </w:tc>
        <w:tc>
          <w:tcPr>
            <w:tcW w:type="dxa" w:w="1134"/>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Sân sát hạch loại 3 không nhỏ hơn 3.600 m²</w:t>
            </w:r>
          </w:p>
        </w:tc>
        <w:tc>
          <w:tcPr>
            <w:tcW w:type="dxa" w:w="425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Đúng mức tối thiểu nêu trong Đề án (xem Mức 2 mục 6 về biên diện tích)</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QCVN 15 mục 2.1.5.3 [Drive]</w:t>
            </w:r>
          </w:p>
        </w:tc>
        <w:tc>
          <w:tcPr>
            <w:tcW w:type="dxa" w:w="1134"/>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Bài sát hạch xử lý tình huống giả định trên đường Hạng A1, A áp dụng từ 01/01/2028</w:t>
            </w:r>
          </w:p>
        </w:tc>
        <w:tc>
          <w:tcPr>
            <w:tcW w:type="dxa" w:w="425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Đúng: TT 107 Điều 2 khoản 2b</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TT 107 [Drive]</w:t>
            </w:r>
          </w:p>
        </w:tc>
        <w:tc>
          <w:tcPr>
            <w:tcW w:type="dxa" w:w="1134"/>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Mốc 01/01/2027 về đường truyền, định danh, xác thực điện tử</w:t>
            </w:r>
          </w:p>
        </w:tc>
        <w:tc>
          <w:tcPr>
            <w:tcW w:type="dxa" w:w="425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Đúng: NĐ 94 Điều 24 khoản 5, 12g; Điều 42 khoản 3</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94 [Drive]</w:t>
            </w:r>
          </w:p>
        </w:tc>
        <w:tc>
          <w:tcPr>
            <w:tcW w:type="dxa" w:w="1134"/>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Xe sát hạch trong hình Hạng A tối thiểu 02 xe; xe sát hạch được dùng để đào tạo</w:t>
            </w:r>
          </w:p>
        </w:tc>
        <w:tc>
          <w:tcPr>
            <w:tcW w:type="dxa" w:w="425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Đúng: Điều 24 khoản 7b, 7d</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94 [Drive]</w:t>
            </w:r>
          </w:p>
        </w:tc>
        <w:tc>
          <w:tcPr>
            <w:tcW w:type="dxa" w:w="1134"/>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Tiêu chuẩn giáo viên dạy thực hành; Sở Xây dựng cấp giấy chứng nhận</w:t>
            </w:r>
          </w:p>
        </w:tc>
        <w:tc>
          <w:tcPr>
            <w:tcW w:type="dxa" w:w="425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Đúng: Điều 10 khoản 2; Điều 11 khoản 1</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94 [Drive]</w:t>
            </w:r>
          </w:p>
        </w:tc>
        <w:tc>
          <w:tcPr>
            <w:tcW w:type="dxa" w:w="1134"/>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Khối lượng chương trình Hạng A tối thiểu 32 giờ; khóa học không quá 10 ngày</w:t>
            </w:r>
          </w:p>
        </w:tc>
        <w:tc>
          <w:tcPr>
            <w:tcW w:type="dxa" w:w="425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Đúng: TT 14/2025 Điều 5, sửa bởi TT 17/2026</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[Internet] congbao.chinhphu.vn; thuvienphapluat</w:t>
            </w:r>
          </w:p>
        </w:tc>
        <w:tc>
          <w:tcPr>
            <w:tcW w:type="dxa" w:w="1134"/>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9</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NĐ 334/2026 hiệu lực 05/10/2026; không bãi bỏ NĐ 60/2021, NĐ 111/2025</w:t>
            </w:r>
          </w:p>
        </w:tc>
        <w:tc>
          <w:tcPr>
            <w:tcW w:type="dxa" w:w="425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Hiệu lực đúng. Bộ hồ sơ không viện dẫn như đã bị thay thế nên không nêu lỗi</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[Internet] vanban.chinhphu.vn; NĐ 334 Điều 16 [Drive]</w:t>
            </w:r>
          </w:p>
        </w:tc>
        <w:tc>
          <w:tcPr>
            <w:tcW w:type="dxa" w:w="1134"/>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10</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Ngày, số hiệu NĐ 94, TT 107, TT 17, NĐ 334; QĐ 1976 đứng đầu căn cứ</w:t>
            </w:r>
          </w:p>
        </w:tc>
        <w:tc>
          <w:tcPr>
            <w:tcW w:type="dxa" w:w="425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Khớp</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[Drive][Internet]</w:t>
            </w:r>
          </w:p>
        </w:tc>
        <w:tc>
          <w:tcPr>
            <w:tcW w:type="dxa" w:w="1134"/>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bl>
    <w:p>
      <w:pPr>
        <w:spacing w:after="40"/>
      </w:pPr>
    </w:p>
    <w:p>
      <w:pPr>
        <w:spacing w:before="200" w:after="80"/>
      </w:pPr>
      <w:r>
        <w:rPr>
          <w:rFonts w:ascii="Times New Roman" w:hAnsi="Times New Roman"/>
          <w:b/>
          <w:i w:val="0"/>
          <w:color w:val="7030A0"/>
          <w:sz w:val="28"/>
        </w:rPr>
        <w:t>PHẦN IV. BẢNG TỔNG HỢP</w:t>
      </w:r>
    </w:p>
    <w:tbl>
      <w:tblPr>
        <w:tblStyle w:val="TableGrid"/>
        <w:tblW w:type="auto" w:w="0"/>
        <w:jc w:val="center"/>
        <w:tblLayout w:type="fixed"/>
        <w:tblLook w:firstColumn="1" w:firstRow="1" w:lastColumn="0" w:lastRow="0" w:noHBand="0" w:noVBand="1" w:val="04A0"/>
      </w:tblPr>
      <w:tblGrid>
        <w:gridCol w:w="1701"/>
        <w:gridCol w:w="1701"/>
        <w:gridCol w:w="5103"/>
        <w:gridCol w:w="5670"/>
      </w:tblGrid>
      <w:tr>
        <w:trPr>
          <w:cantSplit w:val="0"/>
          <w:tblHeader w:val="1"/>
        </w:trPr>
        <w:tc>
          <w:tcPr>
            <w:tcW w:type="dxa" w:w="170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c>
          <w:tcPr>
            <w:tcW w:type="dxa" w:w="170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SỐ LƯỢNG</w:t>
            </w:r>
          </w:p>
        </w:tc>
        <w:tc>
          <w:tcPr>
            <w:tcW w:type="dxa" w:w="5102"/>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 TRONG PHẦN II</w:t>
            </w:r>
          </w:p>
        </w:tc>
        <w:tc>
          <w:tcPr>
            <w:tcW w:type="dxa" w:w="566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XỬ LÝ</w:t>
            </w:r>
          </w:p>
        </w:tc>
      </w:tr>
      <w:tr>
        <w:trPr>
          <w:cantSplit w:val="0"/>
        </w:trPr>
        <w:tc>
          <w:tcPr>
            <w:tcW w:type="dxa" w:w="1701"/>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1</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510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1, 2</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Phải xử lý trước khi trình ký</w:t>
            </w:r>
          </w:p>
        </w:tc>
      </w:tr>
      <w:tr>
        <w:trPr>
          <w:cantSplit w:val="0"/>
        </w:trPr>
        <w:tc>
          <w:tcPr>
            <w:tcW w:type="dxa" w:w="1701"/>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7</w:t>
            </w:r>
          </w:p>
        </w:tc>
        <w:tc>
          <w:tcPr>
            <w:tcW w:type="dxa" w:w="510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3, 4, 5, 6, 7, 8, 9</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Cần sửa trước giao ban 26/10</w:t>
            </w:r>
          </w:p>
        </w:tc>
      </w:tr>
      <w:tr>
        <w:trPr>
          <w:cantSplit w:val="0"/>
        </w:trPr>
        <w:tc>
          <w:tcPr>
            <w:tcW w:type="dxa" w:w="1701"/>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510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10, 11</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Nên sửa</w:t>
            </w:r>
          </w:p>
        </w:tc>
      </w:tr>
      <w:tr>
        <w:trPr>
          <w:cantSplit w:val="0"/>
        </w:trPr>
        <w:tc>
          <w:tcPr>
            <w:tcW w:type="dxa" w:w="1701"/>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c>
          <w:tcPr>
            <w:tcW w:type="dxa" w:w="170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w:t>
            </w:r>
          </w:p>
        </w:tc>
        <w:tc>
          <w:tcPr>
            <w:tcW w:type="dxa" w:w="510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12, 13, 14</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Góp ý</w:t>
            </w:r>
          </w:p>
        </w:tc>
      </w:tr>
    </w:tbl>
    <w:p>
      <w:pPr>
        <w:spacing w:after="40"/>
      </w:pPr>
    </w:p>
    <w:p>
      <w:pPr>
        <w:spacing w:after="60" w:line="276" w:lineRule="auto"/>
        <w:jc w:val="both"/>
      </w:pPr>
      <w:r>
        <w:rPr>
          <w:rFonts w:ascii="Times New Roman" w:hAnsi="Times New Roman"/>
          <w:b w:val="0"/>
          <w:i/>
          <w:sz w:val="28"/>
        </w:rPr>
        <w:t>Trạng thái các vấn đề của Phiếu lần 1 (30 vấn đề): em chưa đối chiếu từng mục trong phiên này; đề nghị Tổ xây dựng Đề án lập bảng phản hồi từng mục.</w:t>
      </w:r>
    </w:p>
    <w:p>
      <w:pPr>
        <w:spacing w:before="200" w:after="80"/>
      </w:pPr>
      <w:r>
        <w:rPr>
          <w:rFonts w:ascii="Times New Roman" w:hAnsi="Times New Roman"/>
          <w:b/>
          <w:i w:val="0"/>
          <w:color w:val="7030A0"/>
          <w:sz w:val="28"/>
        </w:rPr>
        <w:t>PHẦN V. THẨM ĐỊNH CHUYÊN MÔN</w:t>
      </w:r>
    </w:p>
    <w:p>
      <w:pPr>
        <w:spacing w:after="60" w:line="276" w:lineRule="auto"/>
        <w:jc w:val="both"/>
      </w:pPr>
      <w:r>
        <w:rPr>
          <w:rFonts w:ascii="Times New Roman" w:hAnsi="Times New Roman"/>
          <w:b w:val="0"/>
          <w:i w:val="0"/>
          <w:sz w:val="28"/>
        </w:rPr>
        <w:t>Em chỉ kiểm tra logic nội bộ và tính toán lại bằng công cụ, không thay thế thẩm định của Phòng Tài chính - Kế toán. Kết quả số liệu:</w:t>
      </w:r>
    </w:p>
    <w:tbl>
      <w:tblPr>
        <w:tblStyle w:val="TableGrid"/>
        <w:tblW w:type="auto" w:w="0"/>
        <w:jc w:val="center"/>
        <w:tblLayout w:type="fixed"/>
        <w:tblLook w:firstColumn="1" w:firstRow="1" w:lastColumn="0" w:lastRow="0" w:noHBand="0" w:noVBand="1" w:val="04A0"/>
      </w:tblPr>
      <w:tblGrid>
        <w:gridCol w:w="3118"/>
        <w:gridCol w:w="1530"/>
        <w:gridCol w:w="1530"/>
        <w:gridCol w:w="1530"/>
        <w:gridCol w:w="1530"/>
        <w:gridCol w:w="1530"/>
        <w:gridCol w:w="3685"/>
      </w:tblGrid>
      <w:tr>
        <w:trPr>
          <w:cantSplit w:val="0"/>
          <w:tblHeader w:val="1"/>
        </w:trPr>
        <w:tc>
          <w:tcPr>
            <w:tcW w:type="dxa" w:w="311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CHỈ TIÊU (triệu đồng)</w:t>
            </w:r>
          </w:p>
        </w:tc>
        <w:tc>
          <w:tcPr>
            <w:tcW w:type="dxa" w:w="153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2027</w:t>
            </w:r>
          </w:p>
        </w:tc>
        <w:tc>
          <w:tcPr>
            <w:tcW w:type="dxa" w:w="153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2028</w:t>
            </w:r>
          </w:p>
        </w:tc>
        <w:tc>
          <w:tcPr>
            <w:tcW w:type="dxa" w:w="153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2029</w:t>
            </w:r>
          </w:p>
        </w:tc>
        <w:tc>
          <w:tcPr>
            <w:tcW w:type="dxa" w:w="153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2030</w:t>
            </w:r>
          </w:p>
        </w:tc>
        <w:tc>
          <w:tcPr>
            <w:tcW w:type="dxa" w:w="153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2031</w:t>
            </w:r>
          </w:p>
        </w:tc>
        <w:tc>
          <w:tcPr>
            <w:tcW w:type="dxa" w:w="368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GHI CHÚ</w:t>
            </w:r>
          </w:p>
        </w:tc>
      </w:tr>
      <w:tr>
        <w:trPr>
          <w:cantSplit w:val="0"/>
        </w:trPr>
        <w:tc>
          <w:tcPr>
            <w:tcW w:type="dxa" w:w="311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Doanh thu</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562,45</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1.548,17</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1.884,60</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2.293,30</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2.768,28</w:t>
            </w:r>
          </w:p>
        </w:tc>
        <w:tc>
          <w:tcPr>
            <w:tcW w:type="dxa" w:w="368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Khớp Excel</w:t>
            </w:r>
          </w:p>
        </w:tc>
      </w:tr>
      <w:tr>
        <w:trPr>
          <w:cantSplit w:val="0"/>
        </w:trPr>
        <w:tc>
          <w:tcPr>
            <w:tcW w:type="dxa" w:w="311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Lợi nhuận sau thuế</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−68,48</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98,39</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164,57</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239,26</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326,11</w:t>
            </w:r>
          </w:p>
        </w:tc>
        <w:tc>
          <w:tcPr>
            <w:tcW w:type="dxa" w:w="368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Khớp Excel</w:t>
            </w:r>
          </w:p>
        </w:tc>
      </w:tr>
      <w:tr>
        <w:trPr>
          <w:cantSplit w:val="0"/>
        </w:trPr>
        <w:tc>
          <w:tcPr>
            <w:tcW w:type="dxa" w:w="311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Khấu hao (suy ra)</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116,60</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174,25</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174,25</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174,25</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174,24</w:t>
            </w:r>
          </w:p>
        </w:tc>
        <w:tc>
          <w:tcPr>
            <w:tcW w:type="dxa" w:w="368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Dòng tiền − LNST</w:t>
            </w:r>
          </w:p>
        </w:tc>
      </w:tr>
      <w:tr>
        <w:trPr>
          <w:cantSplit w:val="0"/>
        </w:trPr>
        <w:tc>
          <w:tcPr>
            <w:tcW w:type="dxa" w:w="311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Dòng tiền</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48,12</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272,64</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338,82</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413,51</w:t>
            </w:r>
          </w:p>
        </w:tc>
        <w:tc>
          <w:tcPr>
            <w:tcW w:type="dxa" w:w="15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500,35</w:t>
            </w:r>
          </w:p>
        </w:tc>
        <w:tc>
          <w:tcPr>
            <w:tcW w:type="dxa" w:w="368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Tổng 1.573,44</w:t>
            </w:r>
          </w:p>
        </w:tc>
      </w:tr>
    </w:tbl>
    <w:p>
      <w:pPr>
        <w:spacing w:after="40"/>
      </w:pPr>
    </w:p>
    <w:tbl>
      <w:tblPr>
        <w:tblStyle w:val="TableGrid"/>
        <w:tblW w:type="auto" w:w="0"/>
        <w:jc w:val="center"/>
        <w:tblLayout w:type="fixed"/>
        <w:tblLook w:firstColumn="1" w:firstRow="1" w:lastColumn="0" w:lastRow="0" w:noHBand="0" w:noVBand="1" w:val="04A0"/>
      </w:tblPr>
      <w:tblGrid>
        <w:gridCol w:w="3969"/>
        <w:gridCol w:w="3231"/>
        <w:gridCol w:w="3685"/>
        <w:gridCol w:w="3685"/>
      </w:tblGrid>
      <w:tr>
        <w:trPr>
          <w:cantSplit w:val="0"/>
          <w:tblHeader w:val="1"/>
        </w:trPr>
        <w:tc>
          <w:tcPr>
            <w:tcW w:type="dxa" w:w="396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KỊCH BẢN</w:t>
            </w:r>
          </w:p>
        </w:tc>
        <w:tc>
          <w:tcPr>
            <w:tcW w:type="dxa" w:w="323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VỐN (triệu đồng)</w:t>
            </w:r>
          </w:p>
        </w:tc>
        <w:tc>
          <w:tcPr>
            <w:tcW w:type="dxa" w:w="368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HOÀN VỐN</w:t>
            </w:r>
          </w:p>
        </w:tc>
        <w:tc>
          <w:tcPr>
            <w:tcW w:type="dxa" w:w="368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CHÊNH LỆCH SAU 5 NĂM</w:t>
            </w:r>
          </w:p>
        </w:tc>
      </w:tr>
      <w:tr>
        <w:trPr>
          <w:cantSplit w:val="0"/>
        </w:trPr>
        <w:tc>
          <w:tcPr>
            <w:tcW w:type="dxa" w:w="3969"/>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Excel nguyên trạng</w:t>
            </w:r>
          </w:p>
        </w:tc>
        <w:tc>
          <w:tcPr>
            <w:tcW w:type="dxa" w:w="32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1.505,18</w:t>
            </w:r>
          </w:p>
        </w:tc>
        <w:tc>
          <w:tcPr>
            <w:tcW w:type="dxa" w:w="368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4,86 năm</w:t>
            </w:r>
          </w:p>
        </w:tc>
        <w:tc>
          <w:tcPr>
            <w:tcW w:type="dxa" w:w="368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Hoàn vốn (dư 68,3)</w:t>
            </w:r>
          </w:p>
        </w:tc>
      </w:tr>
      <w:tr>
        <w:trPr>
          <w:cantSplit w:val="0"/>
        </w:trPr>
        <w:tc>
          <w:tcPr>
            <w:tcW w:type="dxa" w:w="3969"/>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Vốn theo Bảng 10</w:t>
            </w:r>
          </w:p>
        </w:tc>
        <w:tc>
          <w:tcPr>
            <w:tcW w:type="dxa" w:w="32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1.730,2</w:t>
            </w:r>
          </w:p>
        </w:tc>
        <w:tc>
          <w:tcPr>
            <w:tcW w:type="dxa" w:w="368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hoàn vốn trong 5 năm</w:t>
            </w:r>
          </w:p>
        </w:tc>
        <w:tc>
          <w:tcPr>
            <w:tcW w:type="dxa" w:w="368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Thiếu 156,8</w:t>
            </w:r>
          </w:p>
        </w:tc>
      </w:tr>
      <w:tr>
        <w:trPr>
          <w:cantSplit w:val="0"/>
        </w:trPr>
        <w:tc>
          <w:tcPr>
            <w:tcW w:type="dxa" w:w="3969"/>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Chi phí bổ sung 3% doanh thu</w:t>
            </w:r>
          </w:p>
        </w:tc>
        <w:tc>
          <w:tcPr>
            <w:tcW w:type="dxa" w:w="32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1.505,18 / 1.730,2</w:t>
            </w:r>
          </w:p>
        </w:tc>
        <w:tc>
          <w:tcPr>
            <w:tcW w:type="dxa" w:w="368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hoàn vốn</w:t>
            </w:r>
          </w:p>
        </w:tc>
        <w:tc>
          <w:tcPr>
            <w:tcW w:type="dxa" w:w="368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Thiếu 149,1 / 374,1</w:t>
            </w:r>
          </w:p>
        </w:tc>
      </w:tr>
      <w:tr>
        <w:trPr>
          <w:cantSplit w:val="0"/>
        </w:trPr>
        <w:tc>
          <w:tcPr>
            <w:tcW w:type="dxa" w:w="3969"/>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Chi phí bổ sung 5% doanh thu</w:t>
            </w:r>
          </w:p>
        </w:tc>
        <w:tc>
          <w:tcPr>
            <w:tcW w:type="dxa" w:w="3231"/>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1.505,18 / 1.730,2</w:t>
            </w:r>
          </w:p>
        </w:tc>
        <w:tc>
          <w:tcPr>
            <w:tcW w:type="dxa" w:w="368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hoàn vốn</w:t>
            </w:r>
          </w:p>
        </w:tc>
        <w:tc>
          <w:tcPr>
            <w:tcW w:type="dxa" w:w="368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Thiếu 294,0 / 519,0</w:t>
            </w:r>
          </w:p>
        </w:tc>
      </w:tr>
    </w:tbl>
    <w:p>
      <w:pPr>
        <w:spacing w:after="40"/>
      </w:pPr>
    </w:p>
    <w:p>
      <w:pPr>
        <w:spacing w:after="60" w:line="276" w:lineRule="auto"/>
        <w:jc w:val="both"/>
      </w:pPr>
      <w:r>
        <w:rPr>
          <w:rFonts w:ascii="Times New Roman" w:hAnsi="Times New Roman"/>
          <w:b w:val="0"/>
          <w:i/>
          <w:sz w:val="28"/>
        </w:rPr>
        <w:t>Giả định kịch bản chi phí bổ sung: chi phí sau thuế bằng 80% mức quy ước (thuế TNDN 20%). Đây là giả định của em để minh họa độ nhạy, không phải số liệu của Trường. Kịch bản nhu cầu 70% và 50% chưa được em đưa vào kết luận vì cấu trúc chi phí cố định/biến đổi trong Excel chưa đủ rõ; số liệu 1.075 triệu đồng của Đề án cho kịch bản 70% là dòng tiền 5 năm, thấp hơn mọi mức vốn.</w:t>
      </w:r>
    </w:p>
    <w:p>
      <w:pPr>
        <w:spacing w:before="200" w:after="80"/>
      </w:pPr>
      <w:r>
        <w:rPr>
          <w:rFonts w:ascii="Times New Roman" w:hAnsi="Times New Roman"/>
          <w:b/>
          <w:i w:val="0"/>
          <w:color w:val="7030A0"/>
          <w:sz w:val="28"/>
        </w:rPr>
        <w:t>PHẦN VI. ĐÁNH GIÁ TỔNG THỂ</w:t>
      </w:r>
    </w:p>
    <w:p>
      <w:pPr>
        <w:spacing w:after="60" w:line="276" w:lineRule="auto"/>
        <w:jc w:val="both"/>
      </w:pPr>
      <w:r>
        <w:rPr>
          <w:rFonts w:ascii="Times New Roman" w:hAnsi="Times New Roman"/>
          <w:b w:val="0"/>
          <w:i w:val="0"/>
          <w:sz w:val="28"/>
        </w:rPr>
        <w:t>Hồ sơ có nền pháp lý chuyên ngành vững: các điều khoản NĐ 94, TT 107/QCVN, TT 17 và NĐ 334 viện dẫn đều khớp chính văn đã đọc. Rủi ro tập trung ở hai nơi: (1) phần tài chính, nơi kết luận hoàn vốn 4,9 năm phụ thuộc vào việc chọn vốn 1.505,18 thay vì 1.730,2; (2) điều kiện sân sát hạch, nơi biên diện tích rất mỏng và chưa có số đo. Hồ sơ CHƯA sẵn sàng trình ký: còn 02 vấn đề Mức 1. Có thể trình giao ban 26/10 để Lãnh đạo cho ý kiến về phương án và định hướng, với điều kiện đã thống nhất con số vốn và sửa kết luận hoàn vốn.</w:t>
      </w:r>
    </w:p>
    <w:p>
      <w:pPr>
        <w:spacing w:before="200" w:after="80"/>
      </w:pPr>
      <w:r>
        <w:rPr>
          <w:rFonts w:ascii="Times New Roman" w:hAnsi="Times New Roman"/>
          <w:b/>
          <w:i w:val="0"/>
          <w:color w:val="7030A0"/>
          <w:sz w:val="28"/>
        </w:rPr>
        <w:t>PHẦN VII. KẾT LUẬN VÀ THỨ TỰ XỬ LÝ</w:t>
      </w:r>
    </w:p>
    <w:tbl>
      <w:tblPr>
        <w:tblStyle w:val="TableGrid"/>
        <w:tblW w:type="auto" w:w="0"/>
        <w:jc w:val="center"/>
        <w:tblLayout w:type="fixed"/>
        <w:tblLook w:firstColumn="1" w:firstRow="1" w:lastColumn="0" w:lastRow="0" w:noHBand="0" w:noVBand="1" w:val="04A0"/>
      </w:tblPr>
      <w:tblGrid>
        <w:gridCol w:w="1134"/>
        <w:gridCol w:w="7371"/>
        <w:gridCol w:w="3798"/>
        <w:gridCol w:w="2268"/>
      </w:tblGrid>
      <w:tr>
        <w:trPr>
          <w:cantSplit w:val="0"/>
          <w:tblHeader w:val="1"/>
        </w:trPr>
        <w:tc>
          <w:tcPr>
            <w:tcW w:type="dxa" w:w="113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THỨ TỰ</w:t>
            </w:r>
          </w:p>
        </w:tc>
        <w:tc>
          <w:tcPr>
            <w:tcW w:type="dxa" w:w="7370"/>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VIỆC CẦN LÀM</w:t>
            </w:r>
          </w:p>
        </w:tc>
        <w:tc>
          <w:tcPr>
            <w:tcW w:type="dxa" w:w="379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ĐƠN VỊ</w:t>
            </w:r>
          </w:p>
        </w:tc>
        <w:tc>
          <w:tcPr>
            <w:tcW w:type="dxa" w:w="226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HẠN</w:t>
            </w:r>
          </w:p>
        </w:tc>
      </w:tr>
      <w:tr>
        <w:trPr>
          <w:cantSplit w:val="0"/>
        </w:trPr>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Chốt một cơ sở vốn (1.505,18 / 1.730,2 / tổng mức 2,5–2,8 tỷ) và lập bảng đối soát (Mức 1, mục 1)</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Tổ xây dựng Đề án; Phòng Tài chính - Kế toán</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24/10/2026</w:t>
            </w:r>
          </w:p>
        </w:tc>
      </w:tr>
      <w:tr>
        <w:trPr>
          <w:cantSplit w:val="0"/>
        </w:trPr>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Tính lại hoàn vốn theo cơ sở vốn đã chốt; sửa kết luận “4,9 năm” và phần Độ nhạy (Mức 1, mục 2)</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Tổ xây dựng Đề án</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24/10/2026</w:t>
            </w:r>
          </w:p>
        </w:tc>
      </w:tr>
      <w:tr>
        <w:trPr>
          <w:cantSplit w:val="0"/>
        </w:trPr>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Đo diện tích sân sát hạch hiện có; xác nhận 700 hay 1.000 m² (Mức 2, mục 6)</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Khoa Đào tạo và Sát hạch lái xe</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24/10/2026</w:t>
            </w:r>
          </w:p>
        </w:tc>
      </w:tr>
      <w:tr>
        <w:trPr>
          <w:cantSplit w:val="0"/>
        </w:trPr>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Bổ sung khoản chủ trương đầu tư, tài sản công vào dự thảo QĐ; thống nhất đơn vị chủ trì hệ thống truyền dữ liệu (mục 4, 5)</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Tổ xây dựng Đề án; Phòng TH-HC&amp;QT</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25/10/2026</w:t>
            </w:r>
          </w:p>
        </w:tc>
      </w:tr>
      <w:tr>
        <w:trPr>
          <w:cantSplit w:val="0"/>
        </w:trPr>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Đính kèm Phụ lục V; các sửa Mức 3, 4</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Tổ xây dựng Đề án</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25/10/2026</w:t>
            </w:r>
          </w:p>
        </w:tc>
      </w:tr>
      <w:tr>
        <w:trPr>
          <w:cantSplit w:val="0"/>
        </w:trPr>
        <w:tc>
          <w:tcPr>
            <w:tcW w:type="dxa" w:w="1134"/>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7370"/>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Rà soát lại bản đã sửa trước khi đưa vào giao ban</w:t>
            </w:r>
          </w:p>
        </w:tc>
        <w:tc>
          <w:tcPr>
            <w:tcW w:type="dxa" w:w="379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Hệ KTC-Ra-Soat-897</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Sáng 26/10/2026</w:t>
            </w:r>
          </w:p>
        </w:tc>
      </w:tr>
    </w:tbl>
    <w:p>
      <w:pPr>
        <w:spacing w:after="40"/>
      </w:pPr>
    </w:p>
    <w:p>
      <w:pPr>
        <w:spacing w:before="200" w:after="80"/>
      </w:pPr>
      <w:r>
        <w:rPr>
          <w:rFonts w:ascii="Times New Roman" w:hAnsi="Times New Roman"/>
          <w:b/>
          <w:i w:val="0"/>
          <w:color w:val="7030A0"/>
          <w:sz w:val="28"/>
        </w:rPr>
        <w:t>PHẦN VIII. PHÂN TÍCH KHẢ THI VÀ RỦI RO</w:t>
      </w:r>
    </w:p>
    <w:tbl>
      <w:tblPr>
        <w:tblStyle w:val="TableGrid"/>
        <w:tblW w:type="auto" w:w="0"/>
        <w:jc w:val="center"/>
        <w:tblLayout w:type="fixed"/>
        <w:tblLook w:firstColumn="1" w:firstRow="1" w:lastColumn="0" w:lastRow="0" w:noHBand="0" w:noVBand="1" w:val="04A0"/>
      </w:tblPr>
      <w:tblGrid>
        <w:gridCol w:w="3231"/>
        <w:gridCol w:w="1304"/>
        <w:gridCol w:w="5103"/>
        <w:gridCol w:w="4932"/>
      </w:tblGrid>
      <w:tr>
        <w:trPr>
          <w:cantSplit w:val="0"/>
          <w:tblHeader w:val="1"/>
        </w:trPr>
        <w:tc>
          <w:tcPr>
            <w:tcW w:type="dxa" w:w="3231"/>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RỦI RO</w:t>
            </w:r>
          </w:p>
        </w:tc>
        <w:tc>
          <w:tcPr>
            <w:tcW w:type="dxa" w:w="130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ĐỘ</w:t>
            </w:r>
          </w:p>
        </w:tc>
        <w:tc>
          <w:tcPr>
            <w:tcW w:type="dxa" w:w="5102"/>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PHÂN TÍCH</w:t>
            </w:r>
          </w:p>
        </w:tc>
        <w:tc>
          <w:tcPr>
            <w:tcW w:type="dxa" w:w="4932"/>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PHƯƠNG ÁN THAY THẾ</w:t>
            </w:r>
          </w:p>
        </w:tc>
      </w:tr>
      <w:tr>
        <w:trPr>
          <w:cantSplit w:val="0"/>
        </w:trPr>
        <w:tc>
          <w:tcPr>
            <w:tcW w:type="dxa" w:w="3231"/>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Không hoàn vốn trong 5 năm nếu vốn thực tế 1.730,2 hoặc nhu cầu thấp</w:t>
            </w:r>
          </w:p>
        </w:tc>
        <w:tc>
          <w:tcPr>
            <w:tcW w:type="dxa" w:w="130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Cao</w:t>
            </w:r>
          </w:p>
        </w:tc>
        <w:tc>
          <w:tcPr>
            <w:tcW w:type="dxa" w:w="510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Dòng tiền năm 1 chỉ 48,12 triệu; tổng 5 năm 1.573,44; mọi kịch bản chi phí bổ sung đều làm lùi thời gian hoàn vốn</w:t>
            </w:r>
          </w:p>
        </w:tc>
        <w:tc>
          <w:tcPr>
            <w:tcW w:type="dxa" w:w="493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Giảm vốn (xe, nhà điều hành lắp ghép), hoặc xin Lãnh đạo chấp nhận mốc hoàn vốn dài hơn và ghi rõ trong Đề án</w:t>
            </w:r>
          </w:p>
        </w:tc>
      </w:tr>
      <w:tr>
        <w:trPr>
          <w:cantSplit w:val="0"/>
        </w:trPr>
        <w:tc>
          <w:tcPr>
            <w:tcW w:type="dxa" w:w="3231"/>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Diện tích sân không đạt 3.600 m²</w:t>
            </w:r>
          </w:p>
        </w:tc>
        <w:tc>
          <w:tcPr>
            <w:tcW w:type="dxa" w:w="130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Cao</w:t>
            </w:r>
          </w:p>
        </w:tc>
        <w:tc>
          <w:tcPr>
            <w:tcW w:type="dxa" w:w="510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Biên 117,5 m² nếu sân hiện có 1.000 m²; thiếu 182,5 m² nếu 700 m²; cấp lại giấy phép sát hạch bị từ chối</w:t>
            </w:r>
          </w:p>
        </w:tc>
        <w:tc>
          <w:tcPr>
            <w:tcW w:type="dxa" w:w="493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Mở rộng thêm; hoặc phương án dự phòng sân tập lái để sát hạch mô tô theo Điều 31 NĐ 94</w:t>
            </w:r>
          </w:p>
        </w:tc>
      </w:tr>
      <w:tr>
        <w:trPr>
          <w:cantSplit w:val="0"/>
        </w:trPr>
        <w:tc>
          <w:tcPr>
            <w:tcW w:type="dxa" w:w="3231"/>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Trễ mốc 01/01/2027 về đường truyền, định danh</w:t>
            </w:r>
          </w:p>
        </w:tc>
        <w:tc>
          <w:tcPr>
            <w:tcW w:type="dxa" w:w="130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Trung bình</w:t>
            </w:r>
          </w:p>
        </w:tc>
        <w:tc>
          <w:tcPr>
            <w:tcW w:type="dxa" w:w="510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Điều kiện bắt buộc cho cả Hạng A1 hiện có; nguồn thu A1 khoảng 405 triệu đồng/năm bị ảnh hưởng</w:t>
            </w:r>
          </w:p>
        </w:tc>
        <w:tc>
          <w:tcPr>
            <w:tcW w:type="dxa" w:w="493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Giao một đơn vị chủ trì, lập tiến độ tuần</w:t>
            </w:r>
          </w:p>
        </w:tc>
      </w:tr>
      <w:tr>
        <w:trPr>
          <w:cantSplit w:val="0"/>
        </w:trPr>
        <w:tc>
          <w:tcPr>
            <w:tcW w:type="dxa" w:w="3231"/>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Nhà giáo thực hành Hạng A</w:t>
            </w:r>
          </w:p>
        </w:tc>
        <w:tc>
          <w:tcPr>
            <w:tcW w:type="dxa" w:w="130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Trung bình</w:t>
            </w:r>
          </w:p>
        </w:tc>
        <w:tc>
          <w:tcPr>
            <w:tcW w:type="dxa" w:w="510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Hiện 06 người có giấy chứng nhận, 03 người hoàn thành tháng 10–11/2026; cần 09</w:t>
            </w:r>
          </w:p>
        </w:tc>
        <w:tc>
          <w:tcPr>
            <w:tcW w:type="dxa" w:w="493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Hợp đồng, thỉnh giảng như Đề án đã nêu</w:t>
            </w:r>
          </w:p>
        </w:tc>
      </w:tr>
      <w:tr>
        <w:trPr>
          <w:cantSplit w:val="0"/>
        </w:trPr>
        <w:tc>
          <w:tcPr>
            <w:tcW w:type="dxa" w:w="3231"/>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Tiến độ xây lắp Giai đoạn 1 trước 30/06/2027 và tuyển sinh tháng 8/2027</w:t>
            </w:r>
          </w:p>
        </w:tc>
        <w:tc>
          <w:tcPr>
            <w:tcW w:type="dxa" w:w="130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Trung bình</w:t>
            </w:r>
          </w:p>
        </w:tc>
        <w:tc>
          <w:tcPr>
            <w:tcW w:type="dxa" w:w="510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Chuỗi: Báo cáo kinh tế - kỹ thuật, kế hoạch lựa chọn nhà thầu, thi công; thời gian ngắn</w:t>
            </w:r>
          </w:p>
        </w:tc>
        <w:tc>
          <w:tcPr>
            <w:tcW w:type="dxa" w:w="4932"/>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Chuẩn bị hồ sơ song song, chốt dự toán ngay sau giao ban</w:t>
            </w:r>
          </w:p>
        </w:tc>
      </w:tr>
    </w:tbl>
    <w:p>
      <w:pPr>
        <w:spacing w:after="40"/>
      </w:pPr>
    </w:p>
    <w:p>
      <w:pPr>
        <w:spacing w:before="200" w:after="80"/>
      </w:pPr>
      <w:r>
        <w:rPr>
          <w:rFonts w:ascii="Times New Roman" w:hAnsi="Times New Roman"/>
          <w:b/>
          <w:i w:val="0"/>
          <w:color w:val="7030A0"/>
          <w:sz w:val="28"/>
        </w:rPr>
        <w:t>KIỂM TRA CHẤT LƯỢNG CUỐI CÙNG</w:t>
      </w:r>
    </w:p>
    <w:tbl>
      <w:tblPr>
        <w:tblStyle w:val="TableGrid"/>
        <w:tblW w:type="auto" w:w="0"/>
        <w:jc w:val="center"/>
        <w:tblLayout w:type="fixed"/>
        <w:tblLook w:firstColumn="1" w:firstRow="1" w:lastColumn="0" w:lastRow="0" w:noHBand="0" w:noVBand="1" w:val="04A0"/>
      </w:tblPr>
      <w:tblGrid>
        <w:gridCol w:w="9639"/>
        <w:gridCol w:w="4536"/>
      </w:tblGrid>
      <w:tr>
        <w:trPr>
          <w:cantSplit w:val="0"/>
          <w:tblHeader w:val="1"/>
        </w:trPr>
        <w:tc>
          <w:tcPr>
            <w:tcW w:type="dxa" w:w="963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HẠNG MỤC TỰ KIỂM</w:t>
            </w:r>
          </w:p>
        </w:tc>
        <w:tc>
          <w:tcPr>
            <w:tcW w:type="dxa" w:w="453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KẾT QUẢ</w:t>
            </w:r>
          </w:p>
        </w:tc>
      </w:tr>
      <w:tr>
        <w:trPr>
          <w:cantSplit w:val="0"/>
        </w:trPr>
        <w:tc>
          <w:tcPr>
            <w:tcW w:type="dxa" w:w="963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Số liệu tài chính tính lại bằng Python, khớp bảng Excel từng năm</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thực hiện</w:t>
            </w:r>
          </w:p>
        </w:tc>
      </w:tr>
      <w:tr>
        <w:trPr>
          <w:cantSplit w:val="0"/>
        </w:trPr>
        <w:tc>
          <w:tcPr>
            <w:tcW w:type="dxa" w:w="963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Điều, khoản NĐ 94, TT 107, NĐ 334 đối chiếu chính văn Drive</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thực hiện</w:t>
            </w:r>
          </w:p>
        </w:tc>
      </w:tr>
      <w:tr>
        <w:trPr>
          <w:cantSplit w:val="0"/>
        </w:trPr>
        <w:tc>
          <w:tcPr>
            <w:tcW w:type="dxa" w:w="963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Nguồn Internet ghi URL, ngày tra, hiệu lực</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thực hiện</w:t>
            </w:r>
          </w:p>
        </w:tc>
      </w:tr>
      <w:tr>
        <w:trPr>
          <w:cantSplit w:val="0"/>
        </w:trPr>
        <w:tc>
          <w:tcPr>
            <w:tcW w:type="dxa" w:w="963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Danh sách dương tính giả (dòng “Ban hành kèm theo…”, số và ngày của dự thảo, đánh số trang phụ lục)</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nêu lỗi</w:t>
            </w:r>
          </w:p>
        </w:tc>
      </w:tr>
      <w:tr>
        <w:trPr>
          <w:cantSplit w:val="0"/>
        </w:trPr>
        <w:tc>
          <w:tcPr>
            <w:tcW w:type="dxa" w:w="963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Văn bản chưa đọc chính văn</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khai báo ở Phần I; không kết luận Mức 1</w:t>
            </w:r>
          </w:p>
        </w:tc>
      </w:tr>
      <w:tr>
        <w:trPr>
          <w:cantSplit w:val="0"/>
        </w:trPr>
        <w:tc>
          <w:tcPr>
            <w:tcW w:type="dxa" w:w="963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Phiếu lần 1 (30 vấn đề)</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đối chiếu từng mục — cần bảng phản hồi</w:t>
            </w:r>
          </w:p>
        </w:tc>
      </w:tr>
    </w:tbl>
    <w:p>
      <w:pPr>
        <w:spacing w:after="40"/>
      </w:pPr>
    </w:p>
    <w:p>
      <w:pPr>
        <w:spacing w:before="200" w:after="80"/>
      </w:pPr>
      <w:r>
        <w:rPr>
          <w:rFonts w:ascii="Times New Roman" w:hAnsi="Times New Roman"/>
          <w:b/>
          <w:i w:val="0"/>
          <w:color w:val="7030A0"/>
          <w:sz w:val="28"/>
        </w:rPr>
        <w:t>THÔNG TIN TRÁCH NHIỆM</w:t>
      </w:r>
    </w:p>
    <w:tbl>
      <w:tblPr>
        <w:tblStyle w:val="TableGrid"/>
        <w:tblW w:type="auto" w:w="0"/>
        <w:jc w:val="center"/>
        <w:tblLayout w:type="fixed"/>
        <w:tblLook w:firstColumn="1" w:firstRow="1" w:lastColumn="0" w:lastRow="0" w:noHBand="0" w:noVBand="1" w:val="04A0"/>
      </w:tblPr>
      <w:tblGrid>
        <w:gridCol w:w="2778"/>
        <w:gridCol w:w="11680"/>
      </w:tblGrid>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đã dùng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Drive KTC-Database (NĐ 334, NĐ 94, TT 107/QCVN 15); Internet (congbao.chinhphu.vn, vanban.chinhphu.vn, thuvienphapluat); 5 tệp hồ sơ do Anh Phục cung cấp · Công cụ hỗ trợ: Hệ KTC-Ra-Soat-897-v2-Cai-tien (Skill ktc-ra-soat-897, v2.25), chạy ngày 22/10/2026.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Người kiểm tra</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Hệ KTC-Ra-Soat-897 (Claude Sonnet 5.5, 22/10/2026). Nguyễn Ngọc Quang Phục, Phó Trưởng phòng TH-HC&amp;QT chịu trách nhiệm xác nhận kết quả.</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Trạng thái phê duyệt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v2.25)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3792</Words>
  <Characters>14582</Characters>
  <Application>Microsoft Macintosh Word</Application>
  <DocSecurity>0</DocSecurity>
  <Lines>0</Lines>
  <Paragraphs>355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