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 v3.0</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Báo cáo ứng dụng trí tuệ nhân tạo (AI) trong quản lý và đào tạo tại Trường Cao đẳng Kon Tum (số   -BC/ĐU, dự thảo)</w:t>
      </w:r>
    </w:p>
    <w:p>
      <w:pPr>
        <w:jc w:val="center"/>
      </w:pPr>
      <w:r>
        <w:rPr>
          <w:rFonts w:ascii="Times New Roman" w:hAnsi="Times New Roman"/>
          <w:b w:val="0"/>
          <w:i w:val="0"/>
          <w:sz w:val="26"/>
        </w:rPr>
        <w:t xml:space="preserve">Ngày rà soát: </w:t>
      </w:r>
      <w:r>
        <w:rPr>
          <w:rFonts w:ascii="Times New Roman" w:hAnsi="Times New Roman"/>
          <w:b/>
          <w:i w:val="0"/>
          <w:sz w:val="26"/>
        </w:rPr>
        <w:t>14/10/2026</w:t>
      </w:r>
      <w:r>
        <w:rPr>
          <w:rFonts w:ascii="Times New Roman" w:hAnsi="Times New Roman"/>
          <w:b w:val="0"/>
          <w:i w:val="0"/>
          <w:sz w:val="26"/>
        </w:rPr>
        <w:t xml:space="preserve">  |  Đơn vị soạn thảo: </w:t>
      </w:r>
      <w:r>
        <w:rPr>
          <w:rFonts w:ascii="Times New Roman" w:hAnsi="Times New Roman"/>
          <w:b/>
          <w:i w:val="0"/>
          <w:sz w:val="26"/>
        </w:rPr>
        <w:t>Đảng ủy Trường Cao đẳng Kon Tum (Phòng TH-HC&amp;QT giúp việc)</w:t>
      </w:r>
      <w:r>
        <w:rPr>
          <w:rFonts w:ascii="Times New Roman" w:hAnsi="Times New Roman"/>
          <w:b w:val="0"/>
          <w:i w:val="0"/>
          <w:sz w:val="26"/>
        </w:rPr>
        <w:t xml:space="preserve">  |  Thẩm quyền: </w:t>
      </w:r>
      <w:r>
        <w:rPr>
          <w:rFonts w:ascii="Times New Roman" w:hAnsi="Times New Roman"/>
          <w:b/>
          <w:i w:val="0"/>
          <w:sz w:val="26"/>
        </w:rPr>
        <w:t>T/M Đảng ủy – Bí thư</w:t>
      </w:r>
    </w:p>
    <w:p>
      <w:pPr>
        <w:spacing w:before="200" w:after="80"/>
      </w:pPr>
      <w:r>
        <w:rPr>
          <w:rFonts w:ascii="Times New Roman" w:hAnsi="Times New Roman"/>
          <w:b/>
          <w:i w:val="0"/>
          <w:color w:val="7030A0"/>
          <w:sz w:val="28"/>
        </w:rPr>
        <w:t>PHẦN I. THÔNG TIN CHUNG</w:t>
      </w:r>
    </w:p>
    <w:tbl>
      <w:tblPr>
        <w:tblStyle w:val="TableGrid"/>
        <w:tblW w:type="dxa" w:w="14572"/>
        <w:jc w:val="center"/>
        <w:tblLayout w:type="fixed"/>
        <w:tblLook w:firstColumn="1" w:firstRow="1" w:lastColumn="0" w:lastRow="0" w:noHBand="0" w:noVBand="1" w:val="04A0"/>
      </w:tblPr>
      <w:tblGrid>
        <w:gridCol w:w="2835"/>
        <w:gridCol w:w="11737"/>
      </w:tblGrid>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Văn bản rà soát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BC_Tinh-hinh-ung-dung-AI-Dang-uy-Truong_20261014_v1_bien-tap-TC.docx (bản đã biên tập vòng 1, 39 thay đổi Track Changes); bản sau rà soát: …_v2_ra-soat-TC.docx</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Hệ quy chiếu</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 – Văn bản Đảng: Tiêu đề "ĐẢNG CỘNG SẢN VIỆT NAM", cơ quan ban hành Đảng ủy Trường, ký T/M ĐẢNG ỦY; áp Hướng dẫn số 05-HD/VPTW ngày 27/5/2026, Quy định số 399-QĐ/TW ngày 09/01/2026; không áp Nghị định 30</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Phiên bản quy tắc</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Baseline v2.24 (bản v2.25 không phát hành – theo CHANGELOG, các bản nháp v2.25–v2.31 đã gộp vào v2.24)</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Đo thể thức</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đo bytes thật (ktc897_properties.py, python-docx): Chữ ký tệp ZIP hợp lệ, lề 20/20/30/15 mm, A4</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Nguồn đã đọc (kho 01-04)</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QĐ 1671/QĐ-TTg (toàn văn, kho 01-04); HD 05-HD/VPTW (kho 01-03); QĐ 2264/QĐ-CĐKT và metadata (kho 02-01)</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Nguồn không có trong kho</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Công văn số 2868-CV/ĐU; Kế hoạch số 848/KH-CĐKT; Nghị quyết số 03/NQ-CP; văn bản ban hành Bộ tiêu chí ngày 06/11/2025</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Tra cứu Internet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Nghị quyết số 03/NQ-CP ngày 09/01/2025 của Chính phủ (Chương trình hành động thực hiện Nghị quyết số 57-NQ/TW): Xác nhận qua văn bản triển khai của các bộ (luatvietnam.vn, baohiemxahoi.gov.vn), tra ngày 14/10/2026</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Giới hạn</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Chưa xác minh loại hình tổ chức đảng của Đảng ủy Trường theo QĐ 208-QĐ/TW (Skill 29 không cho tự kết luận); chưa đối chiếu Công văn 2868-CV/ĐU và Kế hoạch 848/KH-CĐKT</w:t>
            </w:r>
          </w:p>
        </w:tc>
      </w:tr>
    </w:tbl>
    <w:p>
      <w:pPr>
        <w:spacing w:after="40"/>
      </w:pPr>
    </w:p>
    <w:p>
      <w:pPr>
        <w:spacing w:before="200" w:after="80"/>
      </w:pPr>
      <w:r>
        <w:rPr>
          <w:rFonts w:ascii="Times New Roman" w:hAnsi="Times New Roman"/>
          <w:b/>
          <w:i w:val="0"/>
          <w:color w:val="7030A0"/>
          <w:sz w:val="28"/>
        </w:rPr>
        <w:t>PHẦN II. KẾT QUẢ RÀ SOÁT CHI TIẾT</w:t>
      </w:r>
    </w:p>
    <w:tbl>
      <w:tblPr>
        <w:tblStyle w:val="TableGrid"/>
        <w:tblW w:type="dxa" w:w="12587"/>
        <w:jc w:val="center"/>
        <w:tblLayout w:type="fixed"/>
        <w:tblLook w:firstColumn="1" w:firstRow="1" w:lastColumn="0" w:lastRow="0" w:noHBand="0" w:noVBand="1" w:val="04A0"/>
      </w:tblPr>
      <w:tblGrid>
        <w:gridCol w:w="567"/>
        <w:gridCol w:w="1701"/>
        <w:gridCol w:w="3515"/>
        <w:gridCol w:w="2268"/>
        <w:gridCol w:w="3515"/>
        <w:gridCol w:w="1021"/>
      </w:tblGrid>
      <w:tr>
        <w:trPr>
          <w:cantSplit w:val="0"/>
          <w:tblHeader w:val="1"/>
        </w:trPr>
        <w:tc>
          <w:tcPr>
            <w:tcW w:type="dxa" w:w="56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TT</w:t>
            </w:r>
          </w:p>
        </w:tc>
        <w:tc>
          <w:tcPr>
            <w:tcW w:type="dxa" w:w="170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Vị trí</w:t>
            </w:r>
          </w:p>
        </w:tc>
        <w:tc>
          <w:tcPr>
            <w:tcW w:type="dxa" w:w="351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Vấn đề</w:t>
            </w:r>
          </w:p>
        </w:tc>
        <w:tc>
          <w:tcPr>
            <w:tcW w:type="dxa" w:w="226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Căn cứ</w:t>
            </w:r>
          </w:p>
        </w:tc>
        <w:tc>
          <w:tcPr>
            <w:tcW w:type="dxa" w:w="351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Kiến nghị / Xử lý</w:t>
            </w:r>
          </w:p>
        </w:tc>
        <w:tc>
          <w:tcPr>
            <w:tcW w:type="dxa" w:w="102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VII.1, VII.4</w:t>
            </w:r>
          </w:p>
        </w:tc>
        <w:tc>
          <w:tcPr>
            <w:tcW w:type="dxa" w:w="351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Mâu thuẫn: Chọn thí điểm theo dõi nhiệm vụ nhưng lại coi nhóm theo dõi nhiệm vụ là việc xây mới ở Giai đoạn 3</w:t>
            </w:r>
          </w:p>
        </w:tc>
        <w:tc>
          <w:tcPr>
            <w:tcW w:type="dxa" w:w="226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Skill 15 (logic)</w:t>
            </w:r>
          </w:p>
        </w:tc>
        <w:tc>
          <w:tcPr>
            <w:tcW w:type="dxa" w:w="351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(Track Changes vòng 1): Khảo sát, xác định yêu cầu trước; lộ trình 3 giai đoạn mới</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2</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2</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VII.2, gạch đầu dòng 4</w:t>
            </w:r>
          </w:p>
        </w:tc>
        <w:tc>
          <w:tcPr>
            <w:tcW w:type="dxa" w:w="351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Ghi dữ liệu trình diễn chỉ là dữ liệu công khai hoặc giả định, trong khi video Phần 4 dùng kết quả công việc thật của Trường</w:t>
            </w:r>
          </w:p>
        </w:tc>
        <w:tc>
          <w:tcPr>
            <w:tcW w:type="dxa" w:w="226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Skill 15, 18 (thống nhất với Phương án 17/10)</w:t>
            </w:r>
          </w:p>
        </w:tc>
        <w:tc>
          <w:tcPr>
            <w:tcW w:type="dxa" w:w="351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(Track Changes vòng 2): Bổ sung "dữ liệu công việc thông thường của Trường, không thuộc bí mật nhà nước"</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2</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3</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Toàn bộ phần nội dung</w:t>
            </w:r>
          </w:p>
        </w:tc>
        <w:tc>
          <w:tcPr>
            <w:tcW w:type="dxa" w:w="351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Cách dòng Multiple 1,3 (không phải Exactly 18–22 pt); thụt đầu dòng 12,7 mm (quy định khoảng 10 mm)</w:t>
            </w:r>
          </w:p>
        </w:tc>
        <w:tc>
          <w:tcPr>
            <w:tcW w:type="dxa" w:w="226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HD 05-HD/VPTW Phần II mục 6.2; Phụ lục 2 Skill 29</w:t>
            </w:r>
          </w:p>
        </w:tc>
        <w:tc>
          <w:tcPr>
            <w:tcW w:type="dxa" w:w="351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Chưa sửa (thay đổi định dạng): Chọn toàn văn bản, đặt Exactly 18 pt, thụt 1 cm</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3</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4</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IV</w:t>
            </w:r>
          </w:p>
        </w:tc>
        <w:tc>
          <w:tcPr>
            <w:tcW w:type="dxa" w:w="351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Đánh số "1)", "2)"… không thống nhất với cách đánh số "1.", "2." ở các mục khác</w:t>
            </w:r>
          </w:p>
        </w:tc>
        <w:tc>
          <w:tcPr>
            <w:tcW w:type="dxa" w:w="226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HD 05-HD/VPTW (khoản ghi "1.")</w:t>
            </w:r>
          </w:p>
        </w:tc>
        <w:tc>
          <w:tcPr>
            <w:tcW w:type="dxa" w:w="351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sửa (Track Changes vòng 2)</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3</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5</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I, đoạn 3</w:t>
            </w:r>
          </w:p>
        </w:tc>
        <w:tc>
          <w:tcPr>
            <w:tcW w:type="dxa" w:w="351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Viện dẫn Kế hoạch số 848/KH-CĐKT thiếu cơ quan ban hành và trích yếu ở lần dẫn đầu</w:t>
            </w:r>
          </w:p>
        </w:tc>
        <w:tc>
          <w:tcPr>
            <w:tcW w:type="dxa" w:w="226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Skill 29 mục 6 (viện dẫn lần đầu ghi đủ)</w:t>
            </w:r>
          </w:p>
        </w:tc>
        <w:tc>
          <w:tcPr>
            <w:tcW w:type="dxa" w:w="351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CẦN XÁC MINH: Bổ sung "của Hiệu trưởng Trường Cao đẳng Kon Tum về …" theo bản gốc (kho chưa có)</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3</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6</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I, đoạn 2</w:t>
            </w:r>
          </w:p>
        </w:tc>
        <w:tc>
          <w:tcPr>
            <w:tcW w:type="dxa" w:w="351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Bộ tiêu chí đánh giá ứng dụng AI ngày 06/11/2025 không nêu số hiệu văn bản ban hành</w:t>
            </w:r>
          </w:p>
        </w:tc>
        <w:tc>
          <w:tcPr>
            <w:tcW w:type="dxa" w:w="226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Skill 29 mục 6</w:t>
            </w:r>
          </w:p>
        </w:tc>
        <w:tc>
          <w:tcPr>
            <w:tcW w:type="dxa" w:w="351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CẦN XÁC MINH: Ghi "Quyết định số …/QĐ-CĐKT ngày 06/11/2025"</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3</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7</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Đoạn mở đầu</w:t>
            </w:r>
          </w:p>
        </w:tc>
        <w:tc>
          <w:tcPr>
            <w:tcW w:type="dxa" w:w="351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Công văn số 2868-CV/ĐU chưa có trong kho để đối chiếu số, ngày</w:t>
            </w:r>
          </w:p>
        </w:tc>
        <w:tc>
          <w:tcPr>
            <w:tcW w:type="dxa" w:w="226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Cổng nguồn v2.24</w:t>
            </w:r>
          </w:p>
        </w:tc>
        <w:tc>
          <w:tcPr>
            <w:tcW w:type="dxa" w:w="351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Đối chiếu với bản Công văn đã nhận trước khi ký</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4</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8</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I, đoạn 1</w:t>
            </w:r>
          </w:p>
        </w:tc>
        <w:tc>
          <w:tcPr>
            <w:tcW w:type="dxa" w:w="351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Nghị quyết số 03/NQ-CP đã được sửa đổi, bổ sung, cập nhật bởi Nghị quyết số 71/NQ-CP ngày 01/4/2025 (theo nguồn Internet)</w:t>
            </w:r>
          </w:p>
        </w:tc>
        <w:tc>
          <w:tcPr>
            <w:tcW w:type="dxa" w:w="226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03-Phap-Ly</w:t>
            </w:r>
          </w:p>
        </w:tc>
        <w:tc>
          <w:tcPr>
            <w:tcW w:type="dxa" w:w="351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Có thể ghi thêm "được sửa đổi, bổ sung tại Nghị quyết số 71/NQ-CP"; không bắt buộc</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4</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9</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I, II</w:t>
            </w:r>
          </w:p>
        </w:tc>
        <w:tc>
          <w:tcPr>
            <w:tcW w:type="dxa" w:w="351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"30 công cụ" theo Kế hoạch 848 và "12 công cụ" đã vận hành dễ bị hiểu là vênh</w:t>
            </w:r>
          </w:p>
        </w:tc>
        <w:tc>
          <w:tcPr>
            <w:tcW w:type="dxa" w:w="226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Skill 18 (thống nhất)</w:t>
            </w:r>
          </w:p>
        </w:tc>
        <w:tc>
          <w:tcPr>
            <w:tcW w:type="dxa" w:w="351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Nên ghi "12/30 công cụ" nếu 12 công cụ thuộc danh mục Kế hoạch 848</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4</w:t>
            </w:r>
          </w:p>
        </w:tc>
      </w:tr>
      <w:tr>
        <w:trPr>
          <w:cantSplit w:val="0"/>
        </w:trPr>
        <w:tc>
          <w:tcPr>
            <w:tcW w:type="dxa" w:w="56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10</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Tên cơ quan ban hành</w:t>
            </w:r>
          </w:p>
        </w:tc>
        <w:tc>
          <w:tcPr>
            <w:tcW w:type="dxa" w:w="351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Loại hình tổ chức đảng sau QĐ 208-QĐ/TW chưa xác định</w:t>
            </w:r>
          </w:p>
        </w:tc>
        <w:tc>
          <w:tcPr>
            <w:tcW w:type="dxa" w:w="226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Skill 29, Phụ lục 3</w:t>
            </w:r>
          </w:p>
        </w:tc>
        <w:tc>
          <w:tcPr>
            <w:tcW w:type="dxa" w:w="351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 kết luận; tên gọi hiện hành vẫn dùng được</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4</w:t>
            </w:r>
          </w:p>
        </w:tc>
      </w:tr>
    </w:tbl>
    <w:p>
      <w:pPr>
        <w:spacing w:after="40"/>
      </w:pPr>
    </w:p>
    <w:p>
      <w:pPr>
        <w:spacing w:before="200" w:after="80"/>
      </w:pPr>
      <w:r>
        <w:rPr>
          <w:rFonts w:ascii="Times New Roman" w:hAnsi="Times New Roman"/>
          <w:b/>
          <w:i w:val="0"/>
          <w:color w:val="7030A0"/>
          <w:sz w:val="28"/>
        </w:rPr>
        <w:t>PHẦN III. NỘI DUNG ĐẠT / KHÔNG PHÁT HIỆN VẤN ĐỀ</w:t>
      </w:r>
    </w:p>
    <w:p>
      <w:pPr>
        <w:spacing w:after="60" w:line="276" w:lineRule="auto"/>
        <w:ind w:firstLine="567"/>
        <w:jc w:val="both"/>
      </w:pPr>
      <w:r>
        <w:rPr>
          <w:rFonts w:ascii="Times New Roman" w:hAnsi="Times New Roman"/>
          <w:b w:val="0"/>
          <w:i w:val="0"/>
          <w:sz w:val="28"/>
        </w:rPr>
        <w:t>- Tiêu đề "ĐẢNG CỘNG SẢN VIỆT NAM" cỡ 15 in hoa đậm; tên cơ quan cấp trên cỡ 14 đứng, tên cơ quan ban hành cỡ 14 đậm, có dấu sao.</w:t>
      </w:r>
    </w:p>
    <w:p>
      <w:pPr>
        <w:spacing w:after="60" w:line="276" w:lineRule="auto"/>
        <w:ind w:firstLine="567"/>
        <w:jc w:val="both"/>
      </w:pPr>
      <w:r>
        <w:rPr>
          <w:rFonts w:ascii="Times New Roman" w:hAnsi="Times New Roman"/>
          <w:b w:val="0"/>
          <w:i w:val="0"/>
          <w:sz w:val="28"/>
        </w:rPr>
        <w:t>- Số, ký hiệu "Số -BC/ĐU" cỡ 14; địa danh, ngày tháng cỡ 14 nghiêng; tên loại "BÁO CÁO" cỡ 16 đậm; trích yếu cỡ 14 đậm; có 05 dấu gạch nối.</w:t>
      </w:r>
    </w:p>
    <w:p>
      <w:pPr>
        <w:spacing w:after="60" w:line="276" w:lineRule="auto"/>
        <w:ind w:firstLine="567"/>
        <w:jc w:val="both"/>
      </w:pPr>
      <w:r>
        <w:rPr>
          <w:rFonts w:ascii="Times New Roman" w:hAnsi="Times New Roman"/>
          <w:b w:val="0"/>
          <w:i w:val="0"/>
          <w:sz w:val="28"/>
        </w:rPr>
        <w:t>- Lề trên 20, dưới 20, trái 30, phải 15 mm đúng mốc cố định; số trang cách mép trên 10 mm, không hiển thị trang đầu.</w:t>
      </w:r>
    </w:p>
    <w:p>
      <w:pPr>
        <w:spacing w:after="60" w:line="276" w:lineRule="auto"/>
        <w:ind w:firstLine="567"/>
        <w:jc w:val="both"/>
      </w:pPr>
      <w:r>
        <w:rPr>
          <w:rFonts w:ascii="Times New Roman" w:hAnsi="Times New Roman"/>
          <w:b w:val="0"/>
          <w:i w:val="0"/>
          <w:sz w:val="28"/>
        </w:rPr>
        <w:t>- Đề ký "T/M ĐẢNG ỦY" in hoa đậm, "BÍ THƯ" in hoa không đậm, họ tên in thường đậm, không ghi học hàm, học vị; thể loại Báo cáo thuộc thẩm quyền Ban Chấp hành đảng bộ cơ sở (QĐ 399-QĐ/TW).</w:t>
      </w:r>
    </w:p>
    <w:p>
      <w:pPr>
        <w:spacing w:after="60" w:line="276" w:lineRule="auto"/>
        <w:ind w:firstLine="567"/>
        <w:jc w:val="both"/>
      </w:pPr>
      <w:r>
        <w:rPr>
          <w:rFonts w:ascii="Times New Roman" w:hAnsi="Times New Roman"/>
          <w:b w:val="0"/>
          <w:i w:val="0"/>
          <w:sz w:val="28"/>
        </w:rPr>
        <w:t>- Từ "Nơi nhận" có gạch chân; danh sách nơi nhận cỡ 12.</w:t>
      </w:r>
    </w:p>
    <w:p>
      <w:pPr>
        <w:spacing w:after="60" w:line="276" w:lineRule="auto"/>
        <w:ind w:firstLine="567"/>
        <w:jc w:val="both"/>
      </w:pPr>
      <w:r>
        <w:rPr>
          <w:rFonts w:ascii="Times New Roman" w:hAnsi="Times New Roman"/>
          <w:b w:val="0"/>
          <w:i w:val="0"/>
          <w:sz w:val="28"/>
        </w:rPr>
        <w:t>- Quyết định số 1671/QĐ-TTg ngày 28/8/2026, Hướng dẫn số 05-HD/VPTW ngày 27/5/2026, Quyết định số 2264/QĐ-CĐKT ngày 12/10/2026: Số hiệu, ngày khớp kho 01-04.</w:t>
      </w:r>
    </w:p>
    <w:p>
      <w:pPr>
        <w:spacing w:after="60" w:line="276" w:lineRule="auto"/>
        <w:ind w:firstLine="567"/>
        <w:jc w:val="both"/>
      </w:pPr>
      <w:r>
        <w:rPr>
          <w:rFonts w:ascii="Times New Roman" w:hAnsi="Times New Roman"/>
          <w:b w:val="0"/>
          <w:i w:val="0"/>
          <w:sz w:val="28"/>
        </w:rPr>
        <w:t>- Viết hoa chữ đầu sau dấu hai chấm: 0 lỗi; kiểm viện dẫn VD01–VD12 (kiem_vien_dan.py): 0 lỗi; không có nội dung bí mật nhà nước.</w:t>
      </w:r>
    </w:p>
    <w:p>
      <w:pPr>
        <w:spacing w:before="200" w:after="80"/>
      </w:pPr>
      <w:r>
        <w:rPr>
          <w:rFonts w:ascii="Times New Roman" w:hAnsi="Times New Roman"/>
          <w:b/>
          <w:i w:val="0"/>
          <w:color w:val="7030A0"/>
          <w:sz w:val="28"/>
        </w:rPr>
        <w:t>PHẦN IV. BẢNG TỔNG HỢP</w:t>
      </w:r>
    </w:p>
    <w:tbl>
      <w:tblPr>
        <w:tblStyle w:val="TableGrid"/>
        <w:tblW w:type="dxa" w:w="11340"/>
        <w:jc w:val="center"/>
        <w:tblLayout w:type="fixed"/>
        <w:tblLook w:firstColumn="1" w:firstRow="1" w:lastColumn="0" w:lastRow="0" w:noHBand="0" w:noVBand="1" w:val="04A0"/>
      </w:tblPr>
      <w:tblGrid>
        <w:gridCol w:w="3402"/>
        <w:gridCol w:w="1701"/>
        <w:gridCol w:w="2835"/>
        <w:gridCol w:w="3402"/>
      </w:tblGrid>
      <w:tr>
        <w:trPr>
          <w:cantSplit w:val="0"/>
          <w:tblHeader w:val="1"/>
        </w:trPr>
        <w:tc>
          <w:tcPr>
            <w:tcW w:type="dxa" w:w="3402"/>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w:t>
            </w:r>
          </w:p>
        </w:tc>
        <w:tc>
          <w:tcPr>
            <w:tcW w:type="dxa" w:w="170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Số vấn đề</w:t>
            </w:r>
          </w:p>
        </w:tc>
        <w:tc>
          <w:tcPr>
            <w:tcW w:type="dxa" w:w="283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Đã sửa (Track Changes)</w:t>
            </w:r>
          </w:p>
        </w:tc>
        <w:tc>
          <w:tcPr>
            <w:tcW w:type="dxa" w:w="3402"/>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Còn lại</w:t>
            </w:r>
          </w:p>
        </w:tc>
      </w:tr>
      <w:tr>
        <w:trPr>
          <w:cantSplit w:val="0"/>
        </w:trPr>
        <w:tc>
          <w:tcPr>
            <w:tcW w:type="dxa" w:w="3402"/>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1 – Bắt buộc sửa</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r>
      <w:tr>
        <w:trPr>
          <w:cantSplit w:val="0"/>
        </w:trPr>
        <w:tc>
          <w:tcPr>
            <w:tcW w:type="dxa" w:w="3402"/>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 – Cần sửa</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w:t>
            </w:r>
          </w:p>
        </w:tc>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r>
      <w:tr>
        <w:trPr>
          <w:cantSplit w:val="0"/>
        </w:trPr>
        <w:tc>
          <w:tcPr>
            <w:tcW w:type="dxa" w:w="3402"/>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 – Nên sửa</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4</w:t>
            </w:r>
          </w:p>
        </w:tc>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 (01 định dạng, 02 cần xác minh)</w:t>
            </w:r>
          </w:p>
        </w:tc>
      </w:tr>
      <w:tr>
        <w:trPr>
          <w:cantSplit w:val="0"/>
        </w:trPr>
        <w:tc>
          <w:tcPr>
            <w:tcW w:type="dxa" w:w="3402"/>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 – Góp ý</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4</w:t>
            </w:r>
          </w:p>
        </w:tc>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4</w:t>
            </w:r>
          </w:p>
        </w:tc>
      </w:tr>
      <w:tr>
        <w:trPr>
          <w:cantSplit w:val="0"/>
        </w:trPr>
        <w:tc>
          <w:tcPr>
            <w:tcW w:type="dxa" w:w="3402"/>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Biên tập câu chữ vòng 1</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39 thay đổi</w:t>
            </w:r>
          </w:p>
        </w:tc>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39</w:t>
            </w:r>
          </w:p>
        </w:tc>
        <w:tc>
          <w:tcPr>
            <w:tcW w:type="dxa" w:w="3402"/>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r>
    </w:tbl>
    <w:p>
      <w:pPr>
        <w:spacing w:after="40"/>
      </w:pPr>
    </w:p>
    <w:p>
      <w:pPr>
        <w:spacing w:before="200" w:after="80"/>
      </w:pPr>
      <w:r>
        <w:rPr>
          <w:rFonts w:ascii="Times New Roman" w:hAnsi="Times New Roman"/>
          <w:b/>
          <w:i w:val="0"/>
          <w:color w:val="7030A0"/>
          <w:sz w:val="28"/>
        </w:rPr>
        <w:t>PHẦN V. THẨM ĐỊNH CHUYÊN MÔN (NẾU CÓ)</w:t>
      </w:r>
    </w:p>
    <w:p>
      <w:pPr>
        <w:spacing w:after="60" w:line="276" w:lineRule="auto"/>
        <w:ind w:firstLine="567"/>
        <w:jc w:val="both"/>
      </w:pPr>
      <w:r>
        <w:rPr>
          <w:rFonts w:ascii="Times New Roman" w:hAnsi="Times New Roman"/>
          <w:b w:val="0"/>
          <w:i w:val="0"/>
          <w:sz w:val="28"/>
        </w:rPr>
        <w:t>Không có nội dung cần thẩm định chuyên môn. Số liệu hiệu quả (tỷ lệ tiết kiệm thời gian, tỷ lệ viên chức, kinh phí) giữ nguyên theo xác nhận của người soạn ngày 14/10/2026; rà soát không kiểm chứng số liệu gốc.</w:t>
      </w:r>
    </w:p>
    <w:p>
      <w:pPr>
        <w:spacing w:before="200" w:after="80"/>
      </w:pPr>
      <w:r>
        <w:rPr>
          <w:rFonts w:ascii="Times New Roman" w:hAnsi="Times New Roman"/>
          <w:b/>
          <w:i w:val="0"/>
          <w:color w:val="7030A0"/>
          <w:sz w:val="28"/>
        </w:rPr>
        <w:t>PHẦN VI. ĐÁNH GIÁ TỔNG THỂ</w:t>
      </w:r>
    </w:p>
    <w:p>
      <w:pPr>
        <w:spacing w:after="60" w:line="276" w:lineRule="auto"/>
        <w:ind w:firstLine="567"/>
        <w:jc w:val="both"/>
      </w:pPr>
      <w:r>
        <w:rPr>
          <w:rFonts w:ascii="Times New Roman" w:hAnsi="Times New Roman"/>
          <w:b w:val="0"/>
          <w:i w:val="0"/>
          <w:sz w:val="28"/>
        </w:rPr>
        <w:t>Văn bản đúng hệ văn bản Đảng, thể thức đầu văn bản và phần ký đạt Hướng dẫn số 05-HD/VPTW. Hai vấn đề logic Mức 2 đã được sửa bằng Track Changes. Còn 01 vấn đề định dạng cách dòng, thụt đầu dòng và 02 viện dẫn nội bộ cần bổ sung theo bản gốc.</w:t>
      </w:r>
    </w:p>
    <w:p>
      <w:pPr>
        <w:spacing w:before="200" w:after="80"/>
      </w:pPr>
      <w:r>
        <w:rPr>
          <w:rFonts w:ascii="Times New Roman" w:hAnsi="Times New Roman"/>
          <w:b/>
          <w:i w:val="0"/>
          <w:color w:val="7030A0"/>
          <w:sz w:val="28"/>
        </w:rPr>
        <w:t>PHẦN VII. KẾT LUẬN VÀ THỨ TỰ XỬ LÝ</w:t>
      </w:r>
    </w:p>
    <w:p>
      <w:pPr>
        <w:spacing w:after="60" w:line="276" w:lineRule="auto"/>
        <w:ind w:firstLine="567"/>
        <w:jc w:val="both"/>
      </w:pPr>
      <w:r>
        <w:rPr>
          <w:rFonts w:ascii="Times New Roman" w:hAnsi="Times New Roman"/>
          <w:b w:val="0"/>
          <w:i w:val="0"/>
          <w:sz w:val="28"/>
        </w:rPr>
        <w:t>- Không còn vấn đề Mức 1. Việc trình ký do người có thẩm quyền quyết định.</w:t>
      </w:r>
    </w:p>
    <w:p>
      <w:pPr>
        <w:spacing w:after="60" w:line="276" w:lineRule="auto"/>
        <w:ind w:firstLine="567"/>
        <w:jc w:val="both"/>
      </w:pPr>
      <w:r>
        <w:rPr>
          <w:rFonts w:ascii="Times New Roman" w:hAnsi="Times New Roman"/>
          <w:b w:val="0"/>
          <w:i w:val="0"/>
          <w:sz w:val="28"/>
        </w:rPr>
        <w:t>- Thứ tự xử lý: (1) Xem, chấp nhận hoặc từ chối từng thay đổi Track Changes; (2) chỉnh cách dòng Exactly 18 pt, thụt 1 cm; (3) bổ sung số hiệu, trích yếu Kế hoạch 848 và văn bản ban hành Bộ tiêu chí; (4) đối chiếu Công văn 2868-CV/ĐU; (5) cân nhắc các góp ý Mức 4.</w:t>
      </w:r>
    </w:p>
    <w:p>
      <w:pPr>
        <w:spacing w:before="200" w:after="80"/>
      </w:pPr>
      <w:r>
        <w:rPr>
          <w:rFonts w:ascii="Times New Roman" w:hAnsi="Times New Roman"/>
          <w:b/>
          <w:i w:val="0"/>
          <w:color w:val="7030A0"/>
          <w:sz w:val="28"/>
        </w:rPr>
        <w:t>KIỂM TRA CHẤT LƯỢNG CUỐI CÙNG</w:t>
      </w:r>
    </w:p>
    <w:p>
      <w:pPr>
        <w:spacing w:after="60" w:line="276" w:lineRule="auto"/>
        <w:ind w:firstLine="567"/>
        <w:jc w:val="both"/>
      </w:pPr>
      <w:r>
        <w:rPr>
          <w:rFonts w:ascii="Times New Roman" w:hAnsi="Times New Roman"/>
          <w:b w:val="0"/>
          <w:i w:val="0"/>
          <w:sz w:val="28"/>
        </w:rPr>
        <w:t>- Đủ 7 phần bắt buộc (Phần VIII không in vì không được yêu cầu); bảng dùng lưới cột cố định; ba trường trách nhiệm đầy đủ; viết hoa sau dấu hai chấm đã quét.</w:t>
      </w:r>
    </w:p>
    <w:p>
      <w:pPr>
        <w:spacing w:before="200" w:after="80"/>
      </w:pPr>
      <w:r>
        <w:rPr>
          <w:rFonts w:ascii="Times New Roman" w:hAnsi="Times New Roman"/>
          <w:b/>
          <w:i w:val="0"/>
          <w:color w:val="7030A0"/>
          <w:sz w:val="28"/>
        </w:rPr>
        <w:t>THÔNG TIN TRÁCH NHIỆM</w:t>
      </w:r>
    </w:p>
    <w:tbl>
      <w:tblPr>
        <w:tblStyle w:val="TableGrid"/>
        <w:tblW w:type="dxa" w:w="14572"/>
        <w:jc w:val="center"/>
        <w:tblLayout w:type="fixed"/>
        <w:tblLook w:firstColumn="1" w:firstRow="1" w:lastColumn="0" w:lastRow="0" w:noHBand="0" w:noVBand="1" w:val="04A0"/>
      </w:tblPr>
      <w:tblGrid>
        <w:gridCol w:w="2835"/>
        <w:gridCol w:w="11737"/>
      </w:tblGrid>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Nguồn dữ liệu đã dùng</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Kho dữ liệu nền 01-03, 01-04, 02-01; tệp dự thảo đo bytes thật; tra cứu Internet ngày 14/10/2026 (luatvietnam.vn, baohiemxahoi.gov.vn)</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Người kiểm tra</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[CẦN ĐIỀN: Họ tên, chức danh người kiểm tra]</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Trạng thái phê duyệt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 v3.0 | Skill ktc-ra-soat-897 v3.0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