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0"/>
        </w:rPr>
        <w:t>KHUNG TIÊU CHÍ ĐÁNH GIÁ KẾT QUẢ THỰC HIỆN NHIỆM VỤ</w:t>
      </w:r>
    </w:p>
    <w:p>
      <w:pPr>
        <w:pStyle w:val="Heading2"/>
      </w:pPr>
      <w:r>
        <w:rPr>
          <w:rFonts w:ascii="Times New Roman" w:hAnsi="Times New Roman"/>
          <w:b/>
          <w:sz w:val="28"/>
        </w:rPr>
        <w:t>PHÒNG TỔNG HỢP - HÀNH CHÍNH VÀ QUẢN TRỊ (TH-HC&amp;QT)</w:t>
      </w:r>
    </w:p>
    <w:p>
      <w:r>
        <w:rPr>
          <w:rFonts w:ascii="Times New Roman" w:hAnsi="Times New Roman"/>
          <w:i/>
          <w:sz w:val="22"/>
        </w:rPr>
        <w:t>Xây dựng trên cơ sở: Quyết định số 2210/QĐ-CĐKT ngày 24/12/2024 (vị trí, chức năng, nhiệm vụ, quyền hạn Phòng TH-HC&amp;QT, sửa đổi bổ sung); Thông báo số 817/TB-CĐKT ngày 14/7/2026 (nội hàm 06 trục kết quả trọng tâm); Khung tiêu chí đánh giá Đơn vị Trường và Phụ lục Chỉ số KPI của Trường (đối chiếu trực tiếp mục 2.1–2.6, 5.1, 5.2, 5.4, 5.6, 6.2, 6.3); Khung tiêu chí Tập thể lãnh đạo, Hiệu trưởng, Phó Hiệu trưởng; Quyết định số 1305/QĐ-CĐKT ngày 27/5/2026 (phân công nhiệm vụ Lãnh đạo Trường).</w:t>
      </w:r>
    </w:p>
    <w:p>
      <w:pPr>
        <w:ind w:left="425"/>
      </w:pPr>
      <w:r>
        <w:rPr>
          <w:rFonts w:ascii="Times New Roman" w:hAnsi="Times New Roman"/>
          <w:b/>
          <w:i/>
          <w:sz w:val="21"/>
        </w:rPr>
        <w:t>Bản cập nhật lần 2 (rà soát theo yêu cầu):</w:t>
      </w:r>
      <w:r>
        <w:rPr>
          <w:rFonts w:ascii="Times New Roman" w:hAnsi="Times New Roman"/>
          <w:b w:val="0"/>
          <w:i/>
          <w:sz w:val="21"/>
        </w:rPr>
        <w:t xml:space="preserve"> So với bản trước, khung tiêu chí này đã: (1) viết lại toàn bộ tiêu chí theo văn phong đánh giá kết quả (dùng các cụm "bảo đảm số lượng, chất lượng, tiến độ", "đúng quy trình", "đúng kế hoạch"...) thay vì liệt kê nhiệm vụ; (2) </w:t>
      </w:r>
      <w:r>
        <w:rPr>
          <w:rFonts w:ascii="Times New Roman" w:hAnsi="Times New Roman"/>
          <w:b/>
          <w:i/>
          <w:sz w:val="21"/>
        </w:rPr>
        <w:t>tách nhỏ các tiêu chí gộp nhiều nội dung</w:t>
      </w:r>
      <w:r>
        <w:rPr>
          <w:rFonts w:ascii="Times New Roman" w:hAnsi="Times New Roman"/>
          <w:b w:val="0"/>
          <w:i/>
          <w:sz w:val="21"/>
        </w:rPr>
        <w:t xml:space="preserve"> trước đây (kế hoạch công tác + lịch tuần; báo cáo + thư ký hội nghị; văn bản điện tử + lưu trữ hồ sơ; pháp chế + cải cách hành chính + hành chính nội bộ; quản lý hạ tầng + đầu tư mua sắm + phục vụ sự kiện; lực lượng bảo vệ + kế hoạch an ninh) thành các tiêu chí độc lập để thuận tiện giao cho từng cá nhân phụ trách; (3) </w:t>
      </w:r>
      <w:r>
        <w:rPr>
          <w:rFonts w:ascii="Times New Roman" w:hAnsi="Times New Roman"/>
          <w:b/>
          <w:i/>
          <w:sz w:val="21"/>
        </w:rPr>
        <w:t>điều chỉnh lại việc phân loại "truyền thông, công khai thông tin"</w:t>
      </w:r>
      <w:r>
        <w:rPr>
          <w:rFonts w:ascii="Times New Roman" w:hAnsi="Times New Roman"/>
          <w:b w:val="0"/>
          <w:i/>
          <w:sz w:val="21"/>
        </w:rPr>
        <w:t xml:space="preserve"> — sau khi đối chiếu với Phụ lục Chỉ số KPI Trường, nội dung này khớp đúng với mục </w:t>
      </w:r>
      <w:r>
        <w:rPr>
          <w:rFonts w:ascii="Times New Roman" w:hAnsi="Times New Roman"/>
          <w:b/>
          <w:i/>
          <w:sz w:val="21"/>
        </w:rPr>
        <w:t>5.1 "Văn hóa nhà trường được phát huy; uy tín và thương hiệu được nâng cao"</w:t>
      </w:r>
      <w:r>
        <w:rPr>
          <w:rFonts w:ascii="Times New Roman" w:hAnsi="Times New Roman"/>
          <w:b w:val="0"/>
          <w:i/>
          <w:sz w:val="21"/>
        </w:rPr>
        <w:t xml:space="preserve"> (Trục 5), không phải Trục 1 như bản trước (mục 1.8 của Trường chỉ áp dụng cho truyền thông tuyển sinh, thuộc chức năng của Phòng QLKHCN&amp;HTPT); do đó Phòng TH-HC&amp;QT </w:t>
      </w:r>
      <w:r>
        <w:rPr>
          <w:rFonts w:ascii="Times New Roman" w:hAnsi="Times New Roman"/>
          <w:b/>
          <w:i/>
          <w:sz w:val="21"/>
        </w:rPr>
        <w:t>không còn tiêu chí nào ở Trục 1</w:t>
      </w:r>
      <w:r>
        <w:rPr>
          <w:rFonts w:ascii="Times New Roman" w:hAnsi="Times New Roman"/>
          <w:b w:val="0"/>
          <w:i/>
          <w:sz w:val="21"/>
        </w:rPr>
        <w:t>, toàn bộ điểm được phân bổ lại cho Trục 5; (4) chính thức đưa "nhiệm vụ khác do Hiệu trưởng phân công" vào khung tiêu chí (mã 2.10).</w:t>
      </w:r>
    </w:p>
    <w:p>
      <w:pPr>
        <w:ind w:left="425"/>
      </w:pPr>
      <w:r>
        <w:rPr>
          <w:rFonts w:ascii="Times New Roman" w:hAnsi="Times New Roman"/>
          <w:b/>
          <w:i/>
          <w:sz w:val="21"/>
        </w:rPr>
        <w:t>Các nội dung đã được xác nhận/xử lý (không còn là kiến nghị mở):</w:t>
      </w:r>
      <w:r>
        <w:rPr>
          <w:rFonts w:ascii="Times New Roman" w:hAnsi="Times New Roman"/>
          <w:b w:val="0"/>
          <w:i/>
          <w:sz w:val="21"/>
        </w:rPr>
        <w:t xml:space="preserve"> - </w:t>
      </w:r>
      <w:r>
        <w:rPr>
          <w:rFonts w:ascii="Times New Roman" w:hAnsi="Times New Roman"/>
          <w:b/>
          <w:i/>
          <w:sz w:val="21"/>
        </w:rPr>
        <w:t>Ranh giới nghiệp vụ văn thư điện tử và hạ tầng công nghệ thông tin (mã 2.5):</w:t>
      </w:r>
      <w:r>
        <w:rPr>
          <w:rFonts w:ascii="Times New Roman" w:hAnsi="Times New Roman"/>
          <w:b w:val="0"/>
          <w:i/>
          <w:sz w:val="21"/>
        </w:rPr>
        <w:t xml:space="preserve"> "Nghiệp vụ quản lý văn bản điện tử" (tiếp nhận, xử lý, phát hành qua phần mềm Ioffice) do Phòng TH-HC&amp;QT đảm nhiệm; "hạ tầng kỹ thuật công nghệ thông tin" (máy chủ, mạng, vận hành phần mềm) do Phòng QLKHCN&amp;HTPT quản trị — áp dụng cùng nguyên tắc đã xác nhận với Phòng QLĐT&amp;BĐCL. - </w:t>
      </w:r>
      <w:r>
        <w:rPr>
          <w:rFonts w:ascii="Times New Roman" w:hAnsi="Times New Roman"/>
          <w:b/>
          <w:i/>
          <w:sz w:val="21"/>
        </w:rPr>
        <w:t>Phạm vi công tác lễ tân (mã 6.3):</w:t>
      </w:r>
      <w:r>
        <w:rPr>
          <w:rFonts w:ascii="Times New Roman" w:hAnsi="Times New Roman"/>
          <w:b w:val="0"/>
          <w:i/>
          <w:sz w:val="21"/>
        </w:rPr>
        <w:t xml:space="preserve"> Xác định gồm cả khách trong nước và ngoài nước theo chỉ đạo của Lãnh đạo Trường (chuẩn bị nội dung, hậu cần, nghi thức đón tiếp); </w:t>
      </w:r>
      <w:r>
        <w:rPr>
          <w:rFonts w:ascii="Times New Roman" w:hAnsi="Times New Roman"/>
          <w:b/>
          <w:i/>
          <w:sz w:val="21"/>
        </w:rPr>
        <w:t>không bao gồm</w:t>
      </w:r>
      <w:r>
        <w:rPr>
          <w:rFonts w:ascii="Times New Roman" w:hAnsi="Times New Roman"/>
          <w:b w:val="0"/>
          <w:i/>
          <w:sz w:val="21"/>
        </w:rPr>
        <w:t xml:space="preserve"> việc đàm phán, ký kết thỏa thuận hợp tác quốc tế — nội dung này thuộc thẩm quyền của Phòng QLKHCN&amp;HTPT (mã 6.1 trong khung tiêu chí đã xây dựng). Đây là giả định hợp lý nhất theo văn bản hiện có; đề nghị Trường xác nhận thêm nếu có quy định khác.  </w:t>
      </w:r>
      <w:r>
        <w:rPr>
          <w:rFonts w:ascii="Times New Roman" w:hAnsi="Times New Roman"/>
          <w:b/>
          <w:i/>
          <w:sz w:val="21"/>
        </w:rPr>
        <w:t>Nội dung còn cần xác nhận thêm:</w:t>
      </w:r>
      <w:r>
        <w:rPr>
          <w:rFonts w:ascii="Times New Roman" w:hAnsi="Times New Roman"/>
          <w:b w:val="0"/>
          <w:i/>
          <w:sz w:val="21"/>
        </w:rPr>
        <w:t xml:space="preserve"> Bổ sung KPI định lượng cụ thể về tài sản (giá trị đầu tư, mua sắm) khi có kế hoạch, chỉ tiêu ngân sách cụ thể hằng năm — xem Phần 7.</w:t>
      </w:r>
    </w:p>
    <w:p>
      <w:pPr>
        <w:ind w:left="425"/>
      </w:pPr>
      <w:r>
        <w:rPr>
          <w:rFonts w:ascii="Times New Roman" w:hAnsi="Times New Roman"/>
          <w:b/>
          <w:i/>
          <w:sz w:val="21"/>
        </w:rPr>
        <w:t>Căn cứ phân công lãnh đạo:</w:t>
      </w:r>
      <w:r>
        <w:rPr>
          <w:rFonts w:ascii="Times New Roman" w:hAnsi="Times New Roman"/>
          <w:b w:val="0"/>
          <w:i/>
          <w:sz w:val="21"/>
        </w:rPr>
        <w:t xml:space="preserve"> Theo Quyết định số 1305/QĐ-CĐKT, </w:t>
      </w:r>
      <w:r>
        <w:rPr>
          <w:rFonts w:ascii="Times New Roman" w:hAnsi="Times New Roman"/>
          <w:b/>
          <w:i/>
          <w:sz w:val="21"/>
        </w:rPr>
        <w:t>Phó Hiệu trưởng Nguyễn Trung Hiếu</w:t>
      </w:r>
      <w:r>
        <w:rPr>
          <w:rFonts w:ascii="Times New Roman" w:hAnsi="Times New Roman"/>
          <w:b w:val="0"/>
          <w:i/>
          <w:sz w:val="21"/>
        </w:rPr>
        <w:t xml:space="preserve"> là người "theo dõi, chỉ đạo" trực tiếp Phòng TH-HC&amp;QT và trực tiếp phụ trách lĩnh vực "công tác tổng hợp, hành chính và quản trị" — bao trùm toàn bộ chức năng của Phòng.</w:t>
      </w:r>
    </w:p>
    <w:p>
      <w:pPr>
        <w:pStyle w:val="Heading2"/>
      </w:pPr>
      <w:r>
        <w:rPr>
          <w:rFonts w:ascii="Times New Roman" w:hAnsi="Times New Roman"/>
          <w:b/>
          <w:sz w:val="28"/>
        </w:rPr>
        <w:t>PHẦN 1. PHÂN TÍCH CHỨC NĂNG, NHIỆM VỤ PHÒNG TH-HC&amp;QT</w:t>
      </w:r>
    </w:p>
    <w:p>
      <w:r>
        <w:rPr>
          <w:rFonts w:ascii="Times New Roman" w:hAnsi="Times New Roman"/>
          <w:b/>
          <w:sz w:val="22"/>
        </w:rPr>
        <w:t>Vị trí:</w:t>
      </w:r>
      <w:r>
        <w:rPr>
          <w:rFonts w:ascii="Times New Roman" w:hAnsi="Times New Roman"/>
          <w:b w:val="0"/>
          <w:sz w:val="22"/>
        </w:rPr>
        <w:t xml:space="preserve"> Đơn vị chức năng thuộc Trường (Điều 2.1, QĐ 2210/QĐ-CĐKT).</w:t>
      </w:r>
    </w:p>
    <w:p>
      <w:r>
        <w:rPr>
          <w:rFonts w:ascii="Times New Roman" w:hAnsi="Times New Roman"/>
          <w:b/>
          <w:sz w:val="22"/>
        </w:rPr>
        <w:t>Chức năng:</w:t>
      </w:r>
      <w:r>
        <w:rPr>
          <w:rFonts w:ascii="Times New Roman" w:hAnsi="Times New Roman"/>
          <w:b w:val="0"/>
          <w:sz w:val="22"/>
        </w:rPr>
        <w:t xml:space="preserve"> Tham mưu Hiệu trưởng về công tác quy hoạch, kế hoạch và tổng hợp; công tác hành chính; công tác quản trị và đời sống; công tác truyền thông.</w:t>
      </w:r>
    </w:p>
    <w:p>
      <w:r>
        <w:rPr>
          <w:rFonts w:ascii="Times New Roman" w:hAnsi="Times New Roman"/>
          <w:b/>
          <w:sz w:val="22"/>
        </w:rPr>
        <w:t>Nhiệm vụ, quyền hạn (Điều 3)</w:t>
      </w:r>
      <w:r>
        <w:rPr>
          <w:rFonts w:ascii="Times New Roman" w:hAnsi="Times New Roman"/>
          <w:b w:val="0"/>
          <w:sz w:val="22"/>
        </w:rPr>
        <w:t xml:space="preserve"> — gồm 03 nhóm:</w:t>
      </w:r>
    </w:p>
    <w:tbl>
      <w:tblPr>
        <w:tblW w:type="auto" w:w="0"/>
        <w:tblLayout w:type="fixed"/>
        <w:tblLook w:firstColumn="1" w:firstRow="1" w:lastColumn="0" w:lastRow="0" w:noHBand="0" w:noVBand="1" w:val="04A0"/>
      </w:tblPr>
      <w:tblGrid>
        <w:gridCol w:w="7070"/>
        <w:gridCol w:w="7070"/>
      </w:tblGrid>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dung khái quát</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kế hoạch và tổng hợp (02 nội dung, điểm a–b)</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pháp chế, hành chính, văn thư, lưu trữ (09 nội dung, điểm a–i)</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quản trị và đời sống (17 nội dung, điểm a–p)</w:t>
            </w:r>
          </w:p>
        </w:tc>
      </w:tr>
    </w:tbl>
    <w:p/>
    <w:p>
      <w:r>
        <w:rPr>
          <w:rFonts w:ascii="Times New Roman" w:hAnsi="Times New Roman"/>
          <w:b/>
          <w:sz w:val="22"/>
        </w:rPr>
        <w:t>Nhận xét đối chiếu 08 yêu cầu:</w:t>
      </w:r>
      <w:r>
        <w:rPr>
          <w:rFonts w:ascii="Times New Roman" w:hAnsi="Times New Roman"/>
          <w:b w:val="0"/>
          <w:sz w:val="22"/>
        </w:rPr>
        <w:t xml:space="preserve"> Toàn bộ 03 nhóm nhiệm vụ (28 nội dung cụ thể) đã được rà soát và đưa vào Khung tiêu chí tại Phần 3, bao gồm cả "nhiệm vụ khác do Hiệu trưởng phân công" (nay là mã 2.10).</w:t>
      </w:r>
    </w:p>
    <w:p>
      <w:pPr>
        <w:pStyle w:val="Heading2"/>
      </w:pPr>
      <w:r>
        <w:rPr>
          <w:rFonts w:ascii="Times New Roman" w:hAnsi="Times New Roman"/>
          <w:b/>
          <w:sz w:val="28"/>
        </w:rPr>
        <w:t>PHẦN 2. MA TRẬN PHÂN LOẠI NHIỆM VỤ VÀO 06 TRỤC</w:t>
      </w:r>
    </w:p>
    <w:tbl>
      <w:tblPr>
        <w:tblW w:type="auto" w:w="0"/>
        <w:tblLayout w:type="fixed"/>
        <w:tblLook w:firstColumn="1" w:firstRow="1" w:lastColumn="0" w:lastRow="0" w:noHBand="0" w:noVBand="1" w:val="04A0"/>
      </w:tblPr>
      <w:tblGrid>
        <w:gridCol w:w="3535"/>
        <w:gridCol w:w="3535"/>
        <w:gridCol w:w="3535"/>
        <w:gridCol w:w="3535"/>
      </w:tblGrid>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Nhiệm vụ chức năng (Điều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phối hợp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Lý do phân loại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(phần kế hoạch): Xây dựng, tổng hợp chương trình, kế hoạch công tác tuần/tháng/quý/năm; theo dõi, tổng hợp thực hiện; phân tích số liệu báo cáo Hiệu trưởng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 – Quản trị tổ chức và điều hành)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"xây dựng chương trình, kế hoạch công tác; theo dõi, đôn đốc, hoàn thành đúng hạn"</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(phần lịch tuần): Lịch công tác tuần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kế hoạch công tác vì là sản phẩm định kỳ khác, có thể giao cá nhân khác phụ trách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báo cáo, thống kê): Báo cáo định kỳ, đột xuất; công bố số liệu thống kê hằng năm</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5 – Văn thư, lưu trữ, thống kê)</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"thống kê, tổng hợp báo cáo"</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thư ký hội nghị): Thư ký các hội nghị, cuộc họp chung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báo cáo/thống kê vì là nhiệm vụ khác biệt (phục vụ hội nghị, không phải tổng hợp số liệu)</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2.a, c, d, h (phần văn bản điện tử): Hành chính, văn thư; quản lý văn bản đi/đến qua Ioffice, hộp thư công vụ</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đây là nghiệp vụ văn thư điện tử, khác với hạ tầng kỹ thuật CNTT do Phòng QLKHCN&amp;HTPT quản trị</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2.a, h (phần lưu trữ hồ sơ): Lưu trữ hồ sơ chung của Trường; hướng dẫn nghiệp vụ lưu trữ cho các đơn vị</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5)</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quản lý văn bản điện tử vì là nghiệp vụ lưu trữ hồ sơ giấy/vật lý, có thể giao cá nhân khác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2.b, e (phần thể thức văn bản): Kiểm tra thể thức, kỹ thuật trình bày văn bản; hướng dẫn thống nhất thể thức toàn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4 – Pháp chế)</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Thuộc "công tác pháp chế"</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2.e (phần cải cách hành chính): Theo dõi, giám sát công tác cải cách hành chính toàn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3 – Cải cách hành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pháp chế vì là nội hàm riêng biệt theo Thông báo 817/TB-CĐKT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2.g, i: Thừa lệnh ký văn bản hành chính thông thường; giám sát nội quy giờ giấc, quy định 5S</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Thuộc quản trị điều hành nội bộ</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3.a, b, c, d, đ, e, g (phần hạ tầng): Quản lý hạ tầng, đất đai, điện – nước – PCCC – thông tin liên lạc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4 – Quản lý tài sản, cơ sở vật chất)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Đây là quản lý hạ tầng cố định, khác với quy trình đầu tư/mua sắm động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3.b, c, d, g (phần đầu tư, mua sắm, kiểm kê): Phối hợp lập kế hoạch đầu tư, mua sắm, sửa chữa; quản lý nhập kho, cấp phát, điều chuyển, kiểm kê, thanh lý tài sản, trang thiết bị</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4)</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quản lý hạ tầng cố định vì là một quy trình quản lý tài sản động, có chu kỳ và hồ sơ riêng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3.e (phần phục vụ sự kiện): Phục vụ giảng đường, phòng học, hội nghị, sự kiện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4)</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dịch vụ phục vụ trực tiếp, khác tính chất với quản lý tài sản dài hạn</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3.k (phần điện nước, môi trường), 3.l, 3.m (phần trường học văn hóa – khía cạnh môi trường): Thực hành tiết kiệm; vệ sinh môi trường, cây xanh, cảnh quan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6 – Bảo vệ môi trường và phát triển bền vững)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trực tiếp "trường học xanh – sạch – đẹp"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3.o (phần quản lý nội trú): Bố trí, quản lý HSSV, viên chức ở nội trú/KTX</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2 – Phát triển con người và quản lý người học)</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chăm sóc sức khỏe vì là nghiệp vụ quản lý chỗ ở, khác chu trình với y tế</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3.ô (phần y tế): Chăm lo sức khỏe viên chức, người lao động, HSSV (ATTP, khám sức khỏe định kỳ, phòng bệnh, sơ cứu, BHYT)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"chăm sóc sức khỏe học đường"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3.ơ, 2.đ, 3.m (phần trường học văn hóa – khía cạnh thương hiệu): Truyền thông về giáo dục nghề nghiệp; thu thập, biên tập thông tin đăng Website; xây dựng trường học văn hóa</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5</w:t>
            </w:r>
            <w:r>
              <w:rPr>
                <w:rFonts w:ascii="Times New Roman" w:hAnsi="Times New Roman"/>
                <w:b w:val="0"/>
                <w:sz w:val="19"/>
              </w:rPr>
              <w:t xml:space="preserve"> (nội hàm 1 – Xây dựng văn hóa và phát triển thương hiệu)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Điều chỉnh so với bản trước:</w:t>
            </w:r>
            <w:r>
              <w:rPr>
                <w:rFonts w:ascii="Times New Roman" w:hAnsi="Times New Roman"/>
                <w:b w:val="0"/>
                <w:sz w:val="19"/>
              </w:rPr>
              <w:t xml:space="preserve"> đối chiếu Phụ lục KPI Trường, nội dung này khớp đúng mục 5.1 ("Văn hóa nhà trường được phát huy; uy tín và thương hiệu được nâng cao"), không phải Trục 1 (mục 1.8 của Trường chỉ áp dụng cho truyền thông tuyển sinh, thuộc Phòng QLKHCN&amp;HTPT)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3.h, n (phần lực lượng, thường trực bảo vệ): Tổ chức lực lượng tự vệ; thường trực bảo vệ; phòng cháy chữa cháy</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6</w:t>
            </w:r>
            <w:r>
              <w:rPr>
                <w:rFonts w:ascii="Times New Roman" w:hAnsi="Times New Roman"/>
                <w:b w:val="0"/>
                <w:sz w:val="19"/>
              </w:rPr>
              <w:t xml:space="preserve"> (nội hàm 2 – Bảo đảm an ninh, an toàn và bảo vệ nhà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kế hoạch an ninh vì là nguồn lực/nhân sự thường trực, khác với hoạt động lập kế hoạch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3.m (phần an ninh), n (phần kế hoạch): Xây dựng tiêu chí an ninh trật tự; kế hoạch bảo vệ dịp lễ, tết; phòng chống bão lụt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6</w:t>
            </w:r>
            <w:r>
              <w:rPr>
                <w:rFonts w:ascii="Times New Roman" w:hAnsi="Times New Roman"/>
                <w:b w:val="0"/>
                <w:sz w:val="19"/>
              </w:rPr>
              <w:t xml:space="preserve"> (nội hàm 2)</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vì là hoạt động lập kế hoạch, khác với vận hành lực lượng thường trực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3.i: Chuẩn bị nội dung tiếp khách, lễ tân theo chỉ đạo Lãnh đạo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6</w:t>
            </w:r>
            <w:r>
              <w:rPr>
                <w:rFonts w:ascii="Times New Roman" w:hAnsi="Times New Roman"/>
                <w:b w:val="0"/>
                <w:sz w:val="19"/>
              </w:rPr>
              <w:t xml:space="preserve"> (nội hàm 3 – Đối ngoại, công tác lễ tân)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định phạm vi:</w:t>
            </w:r>
            <w:r>
              <w:rPr>
                <w:rFonts w:ascii="Times New Roman" w:hAnsi="Times New Roman"/>
                <w:b w:val="0"/>
                <w:sz w:val="19"/>
              </w:rPr>
              <w:t xml:space="preserve"> bao gồm khách trong và ngoài nước (công tác lễ tân, hậu cần); không bao gồm đàm phán, ký kết thỏa thuận hợp tác quốc tế (thuộc Phòng QLKHCN&amp;HTPT)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3.p: "Nhiệm vụ khác... do Hiệu trưởng phân công"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2, theo nguyên tắc chung áp dụng cho nhiệm vụ đột xuất)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đưa vào khung tiêu chí</w:t>
            </w:r>
            <w:r>
              <w:rPr>
                <w:rFonts w:ascii="Times New Roman" w:hAnsi="Times New Roman"/>
                <w:b w:val="0"/>
                <w:sz w:val="19"/>
              </w:rPr>
              <w:t xml:space="preserve"> theo nội dung: "Hoàn thành các nhiệm vụ khác do Hiệu trưởng phân công bảo đảm số lượng, chất lượng, tiến độ" (áp dụng cùng mẫu đã thống nhất với Phòng QLĐT&amp;BĐCL)</w:t>
            </w:r>
          </w:p>
        </w:tc>
      </w:tr>
    </w:tbl>
    <w:p/>
    <w:p>
      <w:r>
        <w:rPr>
          <w:rFonts w:ascii="Times New Roman" w:hAnsi="Times New Roman"/>
          <w:b/>
          <w:sz w:val="22"/>
        </w:rPr>
        <w:t>Trục 1, 3, 4:</w:t>
      </w:r>
      <w:r>
        <w:rPr>
          <w:rFonts w:ascii="Times New Roman" w:hAnsi="Times New Roman"/>
          <w:b w:val="0"/>
          <w:sz w:val="22"/>
        </w:rPr>
        <w:t xml:space="preserve"> Phòng TH-HC&amp;QT </w:t>
      </w:r>
      <w:r>
        <w:rPr>
          <w:rFonts w:ascii="Times New Roman" w:hAnsi="Times New Roman"/>
          <w:b/>
          <w:sz w:val="22"/>
        </w:rPr>
        <w:t>không có nhiệm vụ trực tiếp theo chức năng được giao</w:t>
      </w:r>
      <w:r>
        <w:rPr>
          <w:rFonts w:ascii="Times New Roman" w:hAnsi="Times New Roman"/>
          <w:b w:val="0"/>
          <w:sz w:val="22"/>
        </w:rPr>
        <w:t xml:space="preserve"> thuộc các trục này (nội dung truyền thông đã được xác định lại thuộc Trục 5, không phải Trục 1).</w:t>
      </w:r>
    </w:p>
    <w:p>
      <w:pPr>
        <w:pStyle w:val="Heading2"/>
      </w:pPr>
      <w:r>
        <w:rPr>
          <w:rFonts w:ascii="Times New Roman" w:hAnsi="Times New Roman"/>
          <w:b/>
          <w:sz w:val="28"/>
        </w:rPr>
        <w:t>PHẦN 3. KHUNG TIÊU CHÍ ĐÁNH GIÁ KẾT QUẢ THỰC HIỆN NHIỆM VỤ CỦA PHÒNG (thang điểm 70)</w:t>
      </w:r>
    </w:p>
    <w:p>
      <w:pPr>
        <w:pStyle w:val="Heading3"/>
      </w:pPr>
      <w:r>
        <w:rPr>
          <w:rFonts w:ascii="Times New Roman" w:hAnsi="Times New Roman"/>
          <w:b/>
          <w:sz w:val="26"/>
        </w:rPr>
        <w:t>Bảng phân bổ điểm theo 06 trục</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 phân bổ</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Căn cứ phân bổ</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(nội dung truyền thông đã chuyển sang Trục 5 sau khi đối chiếu Phụ lục KPI Trường)</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 tổng hợp; hành chính – văn thư – lưu trữ; pháp chế; cải cách hành chính; nhiệm vụ khác do Hiệu trưởng phân công — chức năng nền tảng, chiếm khối lượng công việc lớn nhất</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 4</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Quản lý tài sản, cơ sở vật chất; đời sống, sức khỏe; môi trường; </w:t>
            </w:r>
            <w:r>
              <w:rPr>
                <w:rFonts w:ascii="Times New Roman" w:hAnsi="Times New Roman"/>
                <w:b/>
                <w:sz w:val="19"/>
              </w:rPr>
              <w:t>truyền thông, xây dựng văn hóa và thương hiệu nhà trường</w:t>
            </w:r>
            <w:r>
              <w:rPr>
                <w:rFonts w:ascii="Times New Roman" w:hAnsi="Times New Roman"/>
                <w:b w:val="0"/>
                <w:sz w:val="19"/>
              </w:rPr>
              <w:t xml:space="preserve"> (đã điều chỉnh từ Trục 1)</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An ninh, bảo vệ, phòng cháy chữa cháy; lễ tân, đối ngoại</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4713"/>
            <w:tcBorders>
              <w:top w:val="single" w:sz="4" w:space="0" w:color="000000"/>
              <w:left w:val="single" w:sz="4" w:space="0" w:color="000000"/>
              <w:bottom w:val="single" w:sz="4" w:space="0" w:color="000000"/>
              <w:right w:val="single" w:sz="4" w:space="0" w:color="000000"/>
            </w:tcBorders>
          </w:tcPr>
          <w:p>
            <w:r/>
          </w:p>
        </w:tc>
      </w:tr>
    </w:tbl>
    <w:p/>
    <w:p>
      <w:pPr>
        <w:pStyle w:val="Heading3"/>
      </w:pPr>
      <w:r>
        <w:rPr>
          <w:rFonts w:ascii="Times New Roman" w:hAnsi="Times New Roman"/>
          <w:b/>
          <w:sz w:val="26"/>
        </w:rPr>
        <w:t>Bảng tiêu chí chi tiết và phân rã điểm</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hàm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đánh giá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Chỉ số/KPI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Sản phẩm đầu ra/Minh chứng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kế hoạch công tác tuần, tháng, quý, năm của Trường được xây dựng, tổ chức triển khai bảo đảm đúng tiến độ, đúng nội dung; việc theo dõi, tổng hợp tình hình thực hiện được thực hiện thường xuyên, kịp thời, phục vụ tốt công tác chỉ đạo, điều hành của Hiệu trưởng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chương trình, kế hoạch công tác được xây dựng, ban hành đúng tiến độ; (2) Tỷ lệ nhiệm vụ trong chương trình, kế hoạch được theo dõi, đôn đốc và hoàn thành đúng hạn; (3) Số báo cáo phân tích tình hình hoạt động phục vụ chỉ đạo, điều hành được thực hiện đúng yêu cầu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trình/kế hoạch công tác các kỳ; Báo cáo phân tích tình hình hoạt động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Lịch công tác tuần của Trường được xây dựng, ban hành bảo đảm chính xác, kịp thời, đúng thời hạn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lịch công tác tuần được ban hành đúng hạn, chính xác; (2) Tỷ lệ điều chỉnh lịch công tác (nếu có) được thông báo kịp thời đến các đơn vị liên quan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Lịch công tác tuần Trường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thư, lưu trữ, thống kê</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định kỳ, đột xuất và số liệu thống kê hằng năm được tổng hợp, báo cáo bảo đảm đầy đủ, chính xác,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báo cáo thống kê, tổng hợp được thực hiện đúng thời hạn; (2) Tỷ lệ báo cáo bảo đảm đầy đủ, chính xác, phục vụ công tác chỉ đạo,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định kỳ/đột xuất; Số liệu thống kê hằng năm</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thư ký các hội nghị, cuộc họp chung của Trường được thực hiện bảo đảm đầy đủ, chính xác, đúng thời hạn hoàn thiện biên bản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biên bản hội nghị, cuộc họp được hoàn thiện đúng thời hạn,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Biên bản hội nghị, cuộc họp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thư, lưu trữ, thống kê và quản trị dữ liệu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đi, đến được tiếp nhận, xử lý, phát hành, quản lý qua phần mềm Ioffice và hộp thư công vụ bảo đảm đúng quy định, đúng thời hạn (không bao gồm hạ tầng kỹ thuật công nghệ thông tin vận hành hệ thống, do Phòng QLKHCN&amp;HTPT quản trị)</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văn bản đi, đến được tiếp nhận, xử lý, phát hành, quản lý đúng quy định; (2) Tỷ lệ văn bản được xử lý đúng thời hạn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theo dõi văn bản đi/đến trên Ioffice</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thư, lưu trữ, thống kê</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tài liệu chung của Trường được lập, lưu trữ bảo đảm đúng quy định; công tác hướng dẫn nghiệp vụ lưu trữ cho các đơn vị được thực hiện đầy đủ,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tài liệu được lập và lưu trữ đúng quy định; (2) Số đơn vị được hướng dẫn nghiệp vụ lưu trữ đạt yêu cầu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lưu trữ; Tài liệu hướng dẫn nghiệp vụ lưu trữ</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Pháp chế</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quy phạm pháp luật, văn bản hành chính được kiểm tra thể thức, kỹ thuật trình bày bảo đảm đúng quy định trước khi trình ký; việc hướng dẫn thống nhất thể thức văn bản toàn Trường được thực hiện đầy đủ,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văn bản được kiểm tra đạt đúng thể thức trước khi trình ký; (2) Tỷ lệ đơn vị thực hiện đúng thể thức văn bản sau hướng dẫn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Biên bản/phiếu kiểm tra thể thức văn bản; Văn bản hướng dẫn thể thức</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Cải cách hành chính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Các mục tiêu, nhiệm vụ cải cách hành chính của Trường được theo dõi, giám sát và hoàn thành bảo đảm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nhiệm vụ cải cách hành chính hoàn thành theo kế hoạch; (2) Mức độ hoàn thành các nhiệm vụ, giải pháp khắc phục hạn chế về cải cách hành chính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giám sát cải cách hành chính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hành chính thông thường (sao y, sao lục, trích sao, lệnh điều xe, giấy giới thiệu, giấy đi đường) được xử lý bảo đảm đúng thời hạn; nội quy giờ giấc làm việc, quy định 5S được giám sát thực hiện nghiêm túc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văn bản hành chính thông thường xử lý đúng thời hạn; (2) Tỷ lệ đơn vị thực hiện đúng nội quy giờ giấc, quy định 5S theo giám sát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theo dõi văn bản thừa lệnh; Báo cáo giám sát nội quy, 5S</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trị tổ chức và điều hành (nhiệm vụ khác)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các nhiệm vụ khác do Hiệu trưởng phân công bảo đảm số lượng, chất lượng,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bảo đảm chất lượng các nhiệm vụ khác do Hiệu trưởng phân công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giao nhiệm vụ và báo cáo kết quả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cơ sở vật chất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hạ tầng, đất đai, hệ thống điện, nước, phòng cháy chữa cháy, thông tin liên lạc được quản lý, vận hành bảo đảm an toàn, ổn định; sự cố hạ tầng được khắc phục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tài sản, cơ sở vật chất được quản lý, theo dõi đầy đủ; (2) Tỷ lệ sự cố hạ tầng (điện, nước, PCCC) được khắc phục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theo dõi tài sản, hạ tầng; Báo cáo khắc phục sự cố</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cơ sở vật chất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đầu tư, mua sắm, sửa chữa tài sản, trang thiết bị, phương tiện được xây dựng, thực hiện bảo đảm đúng tiến độ; công tác nhập kho, cấp phát, điều chuyển, kiểm kê, thanh lý tài sản được thực hiện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đầu tư, mua sắm, sửa chữa CSVC thực hiện đúng tiến độ; (2) Tỷ lệ tài sản, trang thiết bị được kiểm kê, cập nhật sổ sách đúng định kỳ; (3) Tỷ lệ tài sản, cơ sở vật chất được bảo trì, sửa chữa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đầu tư, mua sắm, sửa chữa; Biên bản kiểm kê, thanh lý tài sản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cơ sở vật chất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vật chất phục vụ giảng đường, phòng học, hội nghị, hội thảo, sự kiện của Trường được chuẩn bị đầy đủ, kịp thời, đáp ứng yêu cầu tổ chức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sự kiện, hội nghị được phục vụ cơ sở vật chất đầy đủ, kịp thời; (2) Tỷ lệ đáp ứng yêu cầu phục vụ hoạt động đào tạo và quản trị</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phục vụ sự kiện; Biên bản bàn giao CSVC phục vụ sự kiện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vệ môi trường và phát triển bền vững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Việc thực hành tiết kiệm điện, nước và các tiêu chí trường học xanh – sạch – đẹp (vệ sinh môi trường, cây xanh, cảnh quan) được thực hiện bảo đảm đạt mục tiêu đề ra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Mức độ tiết kiệm điện, nước so với định mức, kế hoạch; (2) Mức độ thực hiện các tiêu chí trường học xanh – sạch – đẹp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tiết kiệm điện, nước; Kế hoạch, nhật ký vệ sinh môi trường, cây xanh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con người và quản lý người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Học sinh, sinh viên, viên chức ở khu nội trú, ký túc xá được bố trí, quản lý bảo đảm đúng quy định, đầy đủ hồ sơ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học sinh, sinh viên nội trú được quản lý, lập hồ sơ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quản lý HSSV nội trú</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Phát triển con người và quản lý người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chăm sóc sức khỏe viên chức, người lao động, học sinh, sinh viên (an toàn thực phẩm, khám sức khỏe định kỳ, phòng bệnh, sơ cứu, bảo hiểm y tế) được thực hiện bảo đảm đầy đủ, kịp thời, không để xảy ra sự cố nghiêm trọng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học sinh, sinh viên được khám sức khỏe định kỳ đúng kế hoạch; (2) Số vụ việc mất an toàn thực phẩm, dịch bệnh tại Trường (tính theo mức độ không để xảy ra)</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Kết quả khám sức khỏe định kỳ; Báo cáo công tác y tế học đường, BHYT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văn hóa và phát triển thương hiệu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truyền thông về giáo dục nghề nghiệp, quảng bá hình ảnh nhà trường và xây dựng trường học văn hóa được tổ chức bảo đảm hiệu quả, góp phần nâng cao uy tín, thương hiệu của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Mức độ nhận diện và phát triển thương hiệu Trường; (2) Số lượng hoạt động truyền thông, quảng bá hình ảnh Trường được tổ chức đúng kế hoạch; (3) Mức độ đạt tiêu chí trường học văn hóa theo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truyền thông; Tin, bài đăng tải; Bộ tiêu chí, báo cáo kết quả xây dựng trường học văn hóa</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an ninh, an toàn và bảo vệ nhà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Lực lượng tự vệ cơ quan được tổ chức, huấn luyện; công tác thường trực bảo vệ, phòng cháy chữa cháy được duy trì bảo đảm thường xuyên, hiệu quả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vụ việc mất an ninh, trật tự, cháy nổ xảy ra trong phạm vi Trường (tính theo mức độ không để xảy ra vụ việc nghiêm trọng)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huấn luyện tự vệ; Báo cáo xử lý sự cố an ninh, cháy nổ (nếu có)</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an ninh, an toàn và bảo vệ nhà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bảo vệ an ninh trật tự (thường xuyên, dịp lễ, tết) và phòng, chống bão lụt được xây dựng, triển khai bảo đảm đúng thời hạn, đầy đủ nội dung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kế hoạch bảo vệ an ninh (thường xuyên, dịp lễ tết, phòng chống bão lụt) được xây dựng, triển khai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bảo vệ an ninh trật tự</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Đối ngoại và hợp tác quốc tế (công tác lễ tân)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chuẩn bị nội dung, hậu cần tiếp khách, lễ tân theo chỉ đạo của Lãnh đạo Trường được tổ chức bảo đảm chu đáo, đúng nghi thức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chương trình tiếp khách, lễ tân được chuẩn bị chu đáo, đúng nghi thức; (2) Số hoạt động đối ngoại, lễ tân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kịch bản tiếp khách; Báo cáo/phản hồi sau các buổi tiếp khách, lễ tân</w:t>
            </w:r>
          </w:p>
        </w:tc>
      </w:tr>
      <w:tr>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 ĐIỂM</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sz w:val="22"/>
        </w:rPr>
        <w:t>Trục 1, 3, 4:</w:t>
      </w:r>
      <w:r>
        <w:rPr>
          <w:rFonts w:ascii="Times New Roman" w:hAnsi="Times New Roman"/>
          <w:b w:val="0"/>
          <w:sz w:val="22"/>
        </w:rPr>
        <w:t xml:space="preserve"> Đối chiếu Điều 3 (QĐ 2210/QĐ-CĐKT), Phòng TH-HC&amp;QT </w:t>
      </w:r>
      <w:r>
        <w:rPr>
          <w:rFonts w:ascii="Times New Roman" w:hAnsi="Times New Roman"/>
          <w:b/>
          <w:sz w:val="22"/>
        </w:rPr>
        <w:t>không có nhiệm vụ trực tiếp theo chức năng được giao</w:t>
      </w:r>
      <w:r>
        <w:rPr>
          <w:rFonts w:ascii="Times New Roman" w:hAnsi="Times New Roman"/>
          <w:b w:val="0"/>
          <w:sz w:val="22"/>
        </w:rPr>
        <w:t xml:space="preserve"> thuộc các trục này, do đó không phân bổ điểm.</w:t>
      </w:r>
    </w:p>
    <w:p>
      <w:pPr>
        <w:pStyle w:val="Heading2"/>
      </w:pPr>
      <w:r>
        <w:rPr>
          <w:rFonts w:ascii="Times New Roman" w:hAnsi="Times New Roman"/>
          <w:b/>
          <w:sz w:val="28"/>
        </w:rPr>
        <w:t>PHẦN 4. MA TRẬN LIÊN THÔNG VỚI KHUNG TIÊU CHÍ CẤP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Phòng TH-HC&amp;QT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cấp Trường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Kết quả cấp Trường được đóng góp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 Quản trị tổ chức và điều hành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Đầu mối xây dựng chương trình, kế hoạch công tác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kế hoạch công tác Trường được ban hành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 Quản trị tổ chức và điều hành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ban hành lịch công tác tuần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của Trường được điều phối đúng lịch, kịp thời</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2.5 – Văn thư, lưu trữ, thống kê</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Tổng hợp báo cáo, thống kê</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liệu, báo cáo phục vụ quản lý, chỉ đạo điều hành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 Quản trị tổ chức và điều hành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Thư ký hội nghị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Kết quả các hội nghị được ghi nhận đầy đủ, chính xác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2.5 – Văn thư, lưu trữ, thống kê và quản trị dữ liệu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Vận hành nghiệp vụ văn bản điện tử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văn thư điện tử toàn Trường thực hiện đúng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2.5 – Văn thư, lưu trữ, thống kê</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Lưu trữ hồ sơ, hướng dẫn nghiệp vụ</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lưu trữ toàn Trường thực hiện đúng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 Xây dựng, hoàn thiện thể chế (khía cạnh thể thức)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Kiểm tra thể thức văn bản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của Trường đúng thể thức, đúng quy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2.3 – Cải cách hành chính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Giám sát cải cách hành chính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Mục tiêu cải cách hành chính hoàn thành theo kế hoạch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2.2 – Quản trị tổ chức và điều hành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Xử lý hành chính thông thường, giám sát nội quy</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hành chính nội bộ thông suốt, kỷ luật lao động được bảo đảm</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1.9/tương tự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hoàn thành nhiệm vụ được Hiệu trưởng giao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 Tài sản và cơ sở vật chất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hạ tầng cố định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Hạ tầng, tài sản của Trường vận hành an toàn, ổn định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 Tài sản và cơ sở vật chất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Đầu mối đầu tư, mua sắm, kiểm kê tài sản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Tài sản, CSVC được đầu tư, quản lý hiệu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 – Tài sản và cơ sở vật chất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Phục vụ CSVC sự kiện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sự kiện của Trường được tổ chức đầy đủ điều kiện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5.6 – Bảo vệ môi trường, phát triển bền vững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hành tiết kiệm, bảo vệ môi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Mục tiêu môi trường, tiết kiệm của Trường đạt được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 Quản lý người học, chế độ chính sách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nội trú</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Người học nội trú được quản lý tốt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5.2 – Quản lý người học, chế độ chính sách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Chăm sóc sức khỏe HSSV</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Chế độ chăm sóc sức khỏe người học được thực hiện đầy đủ</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 Văn hóa, thương hiệu nhà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truyền thông, xây dựng văn hóa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hóa, thương hiệu, uy tín của Trường được phát huy</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6.2 – An ninh, an toàn trường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Duy trì lực lượng, thường trực bảo vệ</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An ninh, an toàn trường học được bảo đảm thường xuyên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6.2 – An ninh, an toàn trường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Xây dựng, triển khai kế hoạch an ninh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để xảy ra vụ việc mất an ninh nghiêm trọng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6.3 – Đối ngoại, hợp tác quốc tế (khía cạnh lễ tân)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công tác lễ tân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đối ngoại, tiếp khách của Trường được tổ chức chu đáo</w:t>
            </w:r>
          </w:p>
        </w:tc>
      </w:tr>
    </w:tbl>
    <w:p/>
    <w:p>
      <w:pPr>
        <w:pStyle w:val="Heading2"/>
      </w:pPr>
      <w:r>
        <w:rPr>
          <w:rFonts w:ascii="Times New Roman" w:hAnsi="Times New Roman"/>
          <w:b/>
          <w:sz w:val="28"/>
        </w:rPr>
        <w:t>PHẦN 5. MA TRẬN LIÊN THÔNG VỚI TẬP THỂ VÀ CÁ NHÂN LÃNH ĐẠO</w:t>
      </w:r>
    </w:p>
    <w:p>
      <w:r>
        <w:rPr>
          <w:rFonts w:ascii="Times New Roman" w:hAnsi="Times New Roman"/>
          <w:b/>
          <w:sz w:val="22"/>
        </w:rPr>
        <w:t>Căn cứ Quyết định số 1305/QĐ-CĐKT ngày 27/5/2026:</w:t>
      </w:r>
      <w:r>
        <w:rPr>
          <w:rFonts w:ascii="Times New Roman" w:hAnsi="Times New Roman"/>
          <w:b w:val="0"/>
          <w:sz w:val="22"/>
        </w:rPr>
        <w:t xml:space="preserve"> Phòng TH-HC&amp;QT do </w:t>
      </w:r>
      <w:r>
        <w:rPr>
          <w:rFonts w:ascii="Times New Roman" w:hAnsi="Times New Roman"/>
          <w:b/>
          <w:sz w:val="22"/>
        </w:rPr>
        <w:t>Phó Hiệu trưởng Nguyễn Trung Hiếu</w:t>
      </w:r>
      <w:r>
        <w:rPr>
          <w:rFonts w:ascii="Times New Roman" w:hAnsi="Times New Roman"/>
          <w:b w:val="0"/>
          <w:sz w:val="22"/>
        </w:rPr>
        <w:t xml:space="preserve"> "theo dõi, chỉ đạo" trực tiếp; ông Hiếu đồng thời trực tiếp phụ trách lĩnh vực "công tác tổng hợp, hành chính và quản trị" — bao trùm toàn bộ 20 mã tiêu chí của Phòng.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Tập thể lãnh đạo Trường (tiêu chí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Cá nhân lãnh đạo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lãnh đạo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Phòng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đến 2.10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2.1–2.5 (Trục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(trực tiếp phụ trách công tác tổng hợp, hành chính, quản trị)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xây dựng chương trình, kế hoạch công tác; chỉ đạo công tác hành chính, văn thư, lưu trữ, pháp chế, cải cách hành chính; giao và giám sát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thực hiện, tổng hợp báo cáo cho từng nội dung cụ thể</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đến 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5.2, 5.4, 5.6 (Trục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(trực tiếp phụ trách công tác quản trị và đời sống)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quản lý, khai thác tài sản, CSVC; chỉ đạo công tác đời sống, chăm sóc sức khỏe, xây dựng văn hóa nhà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quản lý trực tiếp, tạo sản phẩm/kết quả cụ thể cho từng nội dung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 đến 6.3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6.2, 6.3 (Trục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Nguyễn Trung Hiếu</w:t>
            </w:r>
            <w:r>
              <w:rPr>
                <w:rFonts w:ascii="Times New Roman" w:hAnsi="Times New Roman"/>
                <w:b w:val="0"/>
                <w:sz w:val="19"/>
              </w:rPr>
              <w:t xml:space="preserve"> (theo dõi, chỉ đạo Phòng; không có PHT nào khác được phân công riêng lĩnh vực an ninh/lễ tân)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an ninh, bảo vệ, lễ tân thuộc phạm vi đơn vị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quản lý trực tiếp</w:t>
            </w:r>
          </w:p>
        </w:tc>
      </w:tr>
    </w:tbl>
    <w:p/>
    <w:p>
      <w:r>
        <w:rPr>
          <w:rFonts w:ascii="Times New Roman" w:hAnsi="Times New Roman"/>
          <w:b/>
          <w:sz w:val="22"/>
        </w:rPr>
        <w:t>Ghi chú:</w:t>
      </w:r>
      <w:r>
        <w:rPr>
          <w:rFonts w:ascii="Times New Roman" w:hAnsi="Times New Roman"/>
          <w:b w:val="0"/>
          <w:sz w:val="22"/>
        </w:rPr>
        <w:t xml:space="preserve"> Với Phòng TH-HC&amp;QT, toàn bộ 03 nhóm tiêu chí (20 mã) đều thuộc trách nhiệm chỉ đạo của một Phó Hiệu trưởng duy nhất — không phát sinh điểm giao thoa cần phối hợp liên Phó Hiệu trưởng.</w:t>
      </w:r>
    </w:p>
    <w:p>
      <w:pPr>
        <w:pStyle w:val="Heading2"/>
      </w:pPr>
      <w:r>
        <w:rPr>
          <w:rFonts w:ascii="Times New Roman" w:hAnsi="Times New Roman"/>
          <w:b/>
          <w:sz w:val="28"/>
        </w:rPr>
        <w:t>PHẦN 6. BẢNG KIỂM TRA THIẾU – THỪA – TRÙNG</w:t>
      </w:r>
    </w:p>
    <w:p>
      <w:r>
        <w:rPr>
          <w:rFonts w:ascii="Times New Roman" w:hAnsi="Times New Roman"/>
          <w:b/>
          <w:sz w:val="22"/>
        </w:rPr>
        <w:t>A. Nhiệm vụ chức năng chưa được phản ánh thành KPI:</w:t>
      </w:r>
      <w:r>
        <w:rPr>
          <w:rFonts w:ascii="Times New Roman" w:hAnsi="Times New Roman"/>
          <w:b w:val="0"/>
          <w:sz w:val="22"/>
        </w:rPr>
        <w:t xml:space="preserve"> Không còn. Nội dung "nhiệm vụ khác do Hiệu trưởng phân công" nay đã được lượng hóa thành tiêu chí 2.10.</w:t>
      </w:r>
    </w:p>
    <w:p>
      <w:r>
        <w:rPr>
          <w:rFonts w:ascii="Times New Roman" w:hAnsi="Times New Roman"/>
          <w:b/>
          <w:sz w:val="22"/>
        </w:rPr>
        <w:t>B. KPI chưa có căn cứ chức năng:</w:t>
      </w:r>
      <w:r>
        <w:rPr>
          <w:rFonts w:ascii="Times New Roman" w:hAnsi="Times New Roman"/>
          <w:b w:val="0"/>
          <w:sz w:val="22"/>
        </w:rPr>
        <w:t xml:space="preserve"> Không có. Toàn bộ 20 mã tiêu chí tại Phần 3 đều bắt nguồn trực tiếp từ nhiệm vụ, quyền hạn quy định tại Điều 3, QĐ 2210/QĐ-CĐKT.</w:t>
      </w:r>
    </w:p>
    <w:p>
      <w:r>
        <w:rPr>
          <w:rFonts w:ascii="Times New Roman" w:hAnsi="Times New Roman"/>
          <w:b/>
          <w:sz w:val="22"/>
        </w:rPr>
        <w:t>C. KPI trùng lặp và phương án xử lý</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Vùng có khả năng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Phân tích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Phương án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Hệ thống văn bản điện tử: TH-HC&amp;QT (mã 2.5 – quản lý văn bản qua Ioffice) và Phòng QLKHCN&amp;HTPT (hạ tầng CNTT kỹ thuật,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TH-HC&amp;QT quản lý </w:t>
            </w:r>
            <w:r>
              <w:rPr>
                <w:rFonts w:ascii="Times New Roman" w:hAnsi="Times New Roman"/>
                <w:i/>
                <w:sz w:val="19"/>
              </w:rPr>
              <w:t>nghiệp vụ</w:t>
            </w:r>
            <w:r>
              <w:rPr>
                <w:rFonts w:ascii="Times New Roman" w:hAnsi="Times New Roman"/>
                <w:b w:val="0"/>
                <w:sz w:val="19"/>
              </w:rPr>
              <w:t xml:space="preserve"> văn bản đi/đến (nội dung, quy trình xử lý); Phòng QLKHCN&amp;HTPT quản trị </w:t>
            </w:r>
            <w:r>
              <w:rPr>
                <w:rFonts w:ascii="Times New Roman" w:hAnsi="Times New Roman"/>
                <w:i/>
                <w:sz w:val="19"/>
              </w:rPr>
              <w:t>hạ tầng kỹ thuật</w:t>
            </w:r>
            <w:r>
              <w:rPr>
                <w:rFonts w:ascii="Times New Roman" w:hAnsi="Times New Roman"/>
                <w:b w:val="0"/>
                <w:sz w:val="19"/>
              </w:rPr>
              <w:t xml:space="preserve"> (máy chủ, mạng, phần mềm)</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rõ "nghiệp vụ văn thư" và "hạ tầng kỹ thuật CNTT"</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HSSV nội trú, sức khỏe HSSV: TH-HC&amp;QT (mã 5.5, 5.6) và Phòng TCCB&amp;CTHSSV (chế độ chính sách HSSV, đã có chức năng riêng)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TH-HC&amp;QT quản lý </w:t>
            </w:r>
            <w:r>
              <w:rPr>
                <w:rFonts w:ascii="Times New Roman" w:hAnsi="Times New Roman"/>
                <w:i/>
                <w:sz w:val="19"/>
              </w:rPr>
              <w:t>chỗ ở, y tế, đời sống vật chất</w:t>
            </w:r>
            <w:r>
              <w:rPr>
                <w:rFonts w:ascii="Times New Roman" w:hAnsi="Times New Roman"/>
                <w:b w:val="0"/>
                <w:sz w:val="19"/>
              </w:rPr>
              <w:t xml:space="preserve"> của HSSV; Phòng TCCB&amp;CTHSSV quản lý </w:t>
            </w:r>
            <w:r>
              <w:rPr>
                <w:rFonts w:ascii="Times New Roman" w:hAnsi="Times New Roman"/>
                <w:i/>
                <w:sz w:val="19"/>
              </w:rPr>
              <w:t>chế độ chính sách, thi đua khen thưởng/kỷ luật, tư vấn tâm lý</w:t>
            </w:r>
            <w:r>
              <w:rPr>
                <w:rFonts w:ascii="Times New Roman" w:hAnsi="Times New Roman"/>
                <w:b w:val="0"/>
                <w:sz w:val="19"/>
              </w:rPr>
              <w:t xml:space="preserve"> HSSV</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khác nội dung quản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TH-HC&amp;QT (mã 5.1, 5.2 – quản lý hiện vật, hiện trạng) và Phòng Tài chính – Kế toán (quản lý giá trị, sổ sách kế toán tài sản,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TH-HC&amp;QT quản lý </w:t>
            </w:r>
            <w:r>
              <w:rPr>
                <w:rFonts w:ascii="Times New Roman" w:hAnsi="Times New Roman"/>
                <w:i/>
                <w:sz w:val="19"/>
              </w:rPr>
              <w:t>hiện vật</w:t>
            </w:r>
            <w:r>
              <w:rPr>
                <w:rFonts w:ascii="Times New Roman" w:hAnsi="Times New Roman"/>
                <w:b w:val="0"/>
                <w:sz w:val="19"/>
              </w:rPr>
              <w:t xml:space="preserve"> (nhập kho, cấp phát, bảo trì); Tài chính – Kế toán quản lý </w:t>
            </w:r>
            <w:r>
              <w:rPr>
                <w:rFonts w:ascii="Times New Roman" w:hAnsi="Times New Roman"/>
                <w:i/>
                <w:sz w:val="19"/>
              </w:rPr>
              <w:t>giá trị, hạch toán</w:t>
            </w:r>
            <w:r>
              <w:rPr>
                <w:rFonts w:ascii="Times New Roman" w:hAnsi="Times New Roman"/>
                <w:b w:val="0"/>
                <w:sz w:val="19"/>
              </w:rPr>
              <w:t xml:space="preserve"> tài sản</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đã có quy định phối hợp lập sổ sách</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Truyền thông, công khai thông tin: TH-HC&amp;QT (mã 5.7) và Phòng QLKHCN&amp;HTPT (tư vấn hướng nghiệp, truyền thông tuyển sinh,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TH-HC&amp;QT truyền thông </w:t>
            </w:r>
            <w:r>
              <w:rPr>
                <w:rFonts w:ascii="Times New Roman" w:hAnsi="Times New Roman"/>
                <w:i/>
                <w:sz w:val="19"/>
              </w:rPr>
              <w:t>chung về GDNN và hoạt động nhà trường</w:t>
            </w:r>
            <w:r>
              <w:rPr>
                <w:rFonts w:ascii="Times New Roman" w:hAnsi="Times New Roman"/>
                <w:b w:val="0"/>
                <w:sz w:val="19"/>
              </w:rPr>
              <w:t xml:space="preserve"> (Website, hình ảnh, thương hiệu); Phòng QLKHCN&amp;HTPT truyền thông </w:t>
            </w:r>
            <w:r>
              <w:rPr>
                <w:rFonts w:ascii="Times New Roman" w:hAnsi="Times New Roman"/>
                <w:i/>
                <w:sz w:val="19"/>
              </w:rPr>
              <w:t>chuyên biệt về tuyển sinh, hướng nghiệp, phân luồng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phạm vi nội dung khác nhau; cần phối hợp thống nhất thông điệp truyền thông chung của Trường</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lễ tân, đối ngoại: TH-HC&amp;QT (mã 6.3) và Phòng QLKHCN&amp;HTPT (đối ngoại, hợp tác quốc tế,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định phạm vi:</w:t>
            </w:r>
            <w:r>
              <w:rPr>
                <w:rFonts w:ascii="Times New Roman" w:hAnsi="Times New Roman"/>
                <w:b w:val="0"/>
                <w:sz w:val="19"/>
              </w:rPr>
              <w:t xml:space="preserve"> TH-HC&amp;QT phụ trách </w:t>
            </w:r>
            <w:r>
              <w:rPr>
                <w:rFonts w:ascii="Times New Roman" w:hAnsi="Times New Roman"/>
                <w:i/>
                <w:sz w:val="19"/>
              </w:rPr>
              <w:t>lễ tân, hậu cần đón tiếp</w:t>
            </w:r>
            <w:r>
              <w:rPr>
                <w:rFonts w:ascii="Times New Roman" w:hAnsi="Times New Roman"/>
                <w:b w:val="0"/>
                <w:sz w:val="19"/>
              </w:rPr>
              <w:t xml:space="preserve"> (cả khách trong và ngoài nước); Phòng QLKHCN&amp;HTPT phụ trách </w:t>
            </w:r>
            <w:r>
              <w:rPr>
                <w:rFonts w:ascii="Times New Roman" w:hAnsi="Times New Roman"/>
                <w:i/>
                <w:sz w:val="19"/>
              </w:rPr>
              <w:t>đàm phán, ký kết thỏa thuận hợp tác quốc tế</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"hậu cần lễ tân" và "nội dung chuyên môn đối ngoại"</w:t>
            </w:r>
          </w:p>
        </w:tc>
      </w:tr>
    </w:tbl>
    <w:p/>
    <w:p>
      <w:r>
        <w:rPr>
          <w:rFonts w:ascii="Times New Roman" w:hAnsi="Times New Roman"/>
          <w:b/>
          <w:sz w:val="22"/>
        </w:rPr>
        <w:t>D. KPI chưa đo được:</w:t>
      </w:r>
      <w:r>
        <w:rPr>
          <w:rFonts w:ascii="Times New Roman" w:hAnsi="Times New Roman"/>
          <w:b w:val="0"/>
          <w:sz w:val="22"/>
        </w:rPr>
        <w:t xml:space="preserve"> Không có (xem kiểm tra SMART bên dưới).</w:t>
      </w:r>
    </w:p>
    <w:p>
      <w:r>
        <w:rPr>
          <w:rFonts w:ascii="Times New Roman" w:hAnsi="Times New Roman"/>
          <w:b/>
          <w:sz w:val="22"/>
        </w:rPr>
        <w:t>E. Sản phẩm chưa có minh chứng rõ ràng:</w:t>
      </w:r>
      <w:r>
        <w:rPr>
          <w:rFonts w:ascii="Times New Roman" w:hAnsi="Times New Roman"/>
          <w:b w:val="0"/>
          <w:sz w:val="22"/>
        </w:rPr>
        <w:t xml:space="preserve"> Không có.</w:t>
      </w:r>
    </w:p>
    <w:p>
      <w:pPr>
        <w:pStyle w:val="Heading2"/>
      </w:pPr>
      <w:r>
        <w:rPr>
          <w:rFonts w:ascii="Times New Roman" w:hAnsi="Times New Roman"/>
          <w:b/>
          <w:sz w:val="28"/>
        </w:rPr>
        <w:t>KIỂM TRA TÍNH ĐẦY ĐỦ (đối chiếu với Điều 3)</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chức năng/nhiệm vụ của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đưa vào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Ghi chú</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Kế hoạch công tác, lịch tuần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2.1, 2.2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Báo cáo, thống kê; thư ký hội nghị</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2.3, 2.4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Văn bản điện tử; lưu trữ hồ sơ</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2.5, 2.6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đã xác nhận ranh giới với Phòng QLKHCN&amp;HTPT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Pháp chế; cải cách hành chính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2.7, 2.8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Hành chính nội bộ; nhiệm vụ khác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2.9, 2.10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đưa "nhiệm vụ khác" vào khung tiêu chí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Quản lý hạ tầng; đầu tư, mua sắm tài sản; phục vụ sự kiện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5.1, 5.2, 5.3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Môi trường, tiết kiệm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Quản lý nội trú; chăm sóc sức khỏe</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5.5, 5.6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Truyền thông, văn hóa, thương hiệu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điều chỉnh từ Trục 1 sang Trục 5 sau khi đối chiếu KPI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Lực lượng bảo vệ; kế hoạch an ninh; lễ tân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6.1, 6.2, 6.3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đã xác định phạm vi lễ tân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20 mã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p>
        </w:tc>
      </w:tr>
    </w:tbl>
    <w:p/>
    <w:p>
      <w:pPr>
        <w:pStyle w:val="Heading2"/>
      </w:pPr>
      <w:r>
        <w:rPr>
          <w:rFonts w:ascii="Times New Roman" w:hAnsi="Times New Roman"/>
          <w:b/>
          <w:sz w:val="28"/>
        </w:rPr>
        <w:t>KIỂM TRA TÍNH SMART CỦA KPI (minh họa một số KPI tiêu biểu)</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Cụ thể</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Đo được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Khả thi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Liên quan chức năng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Có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Đạt SMART?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chương trình, kế hoạch công tác được xây dựng, ban hành đúng tiến độ (2.1)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tuần/tháng/quý/năm)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văn bản đi, đến được xử lý, phát hành đúng thời hạn (2.5)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quy định thời gian xử lý)</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kế hoạch đầu tư, mua sắm, sửa chữa CSVC đúng tiến độ (5.2)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ngân sách)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Mức độ nhận diện và phát triển thương hiệu Trường (5.7)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vụ việc mất an ninh, trật tự, cháy nổ xảy ra (6.1)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các nhiệm vụ khác do Hiệu trưởng phân công (2.10)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từng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bl>
    <w:p/>
    <w:p>
      <w:r>
        <w:rPr>
          <w:rFonts w:ascii="Times New Roman" w:hAnsi="Times New Roman"/>
          <w:i/>
          <w:sz w:val="22"/>
        </w:rPr>
        <w:t>Toàn bộ KPI tại Phần 3 đều được thiết kế dưới dạng tỷ lệ, số lượng hoặc kết quả có thể thu thập từ hồ sơ, sổ sách, báo cáo định kỳ của Phòng — không có KPI mang tính định tính chung chung.</w:t>
      </w:r>
    </w:p>
    <w:p>
      <w:pPr>
        <w:pStyle w:val="Heading2"/>
      </w:pPr>
      <w:r>
        <w:rPr>
          <w:rFonts w:ascii="Times New Roman" w:hAnsi="Times New Roman"/>
          <w:b/>
          <w:sz w:val="28"/>
        </w:rPr>
        <w:t>KIỂM TRA TÍNH CÂN ĐỐI GIỮA 06 TRỤC</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Số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kết quả chính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(đã điều chỉnh, truyền thông chuyển sang Trục 5)</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 (2.1–2.10)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42,9%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 tổng hợp; hành chính – văn thư – lưu trữ; pháp chế; cải cách hành chính; nhiệm vụ khác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 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 (5.1–5.7)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42,9%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tài sản, cơ sở vật chất; đời sống, sức khỏe; môi trường; truyền thông, văn hóa, thương hiệu</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(6.1–6.3)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An ninh, an toàn, bảo vệ; lễ tân, đối ngoại</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100%</w:t>
            </w:r>
          </w:p>
        </w:tc>
        <w:tc>
          <w:tcPr>
            <w:tcW w:type="dxa" w:w="2828"/>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i/>
          <w:sz w:val="22"/>
        </w:rPr>
        <w:t>Phân bổ điểm phản ánh đúng trọng tâm chức năng thực tế của Phòng: Trục 2 và Trục 5 ngang bằng nhau (42,9% mỗi trục) sau khi điều chỉnh; việc tách các tiêu chí gộp trước đây thành 20 mã riêng biệt giúp phân công rõ trách nhiệm cho từng cá nhân phụ trách mà không làm thay đổi tổng điểm của Phòng; không tạo KPI giả tạo tại Trục 1, 3, 4.</w:t>
      </w:r>
    </w:p>
    <w:p>
      <w:pPr>
        <w:pStyle w:val="Heading2"/>
      </w:pPr>
      <w:r>
        <w:rPr>
          <w:rFonts w:ascii="Times New Roman" w:hAnsi="Times New Roman"/>
          <w:b/>
          <w:sz w:val="28"/>
        </w:rPr>
        <w:t>PHẦN 7. KIẾN NGHỊ HOÀN THIỆN</w:t>
      </w:r>
    </w:p>
    <w:p>
      <w:pPr>
        <w:ind w:left="340"/>
      </w:pPr>
      <w:r>
        <w:rPr>
          <w:rFonts w:ascii="Times New Roman" w:hAnsi="Times New Roman"/>
          <w:sz w:val="22"/>
        </w:rPr>
        <w:t xml:space="preserve">1. </w:t>
      </w:r>
      <w:r>
        <w:rPr>
          <w:rFonts w:ascii="Times New Roman" w:hAnsi="Times New Roman"/>
          <w:b/>
          <w:sz w:val="22"/>
        </w:rPr>
        <w:t>Bổ sung KPI định lượng về tài sản khi có số liệu cụ thể:</w:t>
      </w:r>
      <w:r>
        <w:rPr>
          <w:rFonts w:ascii="Times New Roman" w:hAnsi="Times New Roman"/>
          <w:b w:val="0"/>
          <w:sz w:val="22"/>
        </w:rPr>
        <w:t xml:space="preserve"> Khi có kế hoạch đầu tư, mua sắm tài sản với số liệu, chỉ tiêu ngân sách cụ thể được giao hằng năm, nên bổ sung KPI theo tỷ lệ giải ngân/hoàn thành kế hoạch đầu tư mua sắm vào mã 5.2.</w:t>
      </w:r>
    </w:p>
    <w:p>
      <w:pPr>
        <w:ind w:left="340"/>
      </w:pPr>
      <w:r>
        <w:rPr>
          <w:rFonts w:ascii="Times New Roman" w:hAnsi="Times New Roman"/>
          <w:sz w:val="22"/>
        </w:rPr>
        <w:t xml:space="preserve">2. </w:t>
      </w:r>
      <w:r>
        <w:rPr>
          <w:rFonts w:ascii="Times New Roman" w:hAnsi="Times New Roman"/>
          <w:b/>
          <w:sz w:val="22"/>
        </w:rPr>
        <w:t>Phân công cá nhân theo từng tiêu chí đã tách:</w:t>
      </w:r>
      <w:r>
        <w:rPr>
          <w:rFonts w:ascii="Times New Roman" w:hAnsi="Times New Roman"/>
          <w:b w:val="0"/>
          <w:sz w:val="22"/>
        </w:rPr>
        <w:t xml:space="preserve"> Đề nghị Phòng căn cứ bảng tiêu chí chi tiết (20 mã) để phân công rõ cá nhân phụ trách từng nội dung, thuận tiện cho việc giao chỉ số KPI cá nhân hằng quý/năm.</w:t>
      </w:r>
    </w:p>
    <w:p>
      <w:pPr>
        <w:ind w:left="340"/>
      </w:pPr>
      <w:r>
        <w:rPr>
          <w:rFonts w:ascii="Times New Roman" w:hAnsi="Times New Roman"/>
          <w:sz w:val="22"/>
        </w:rPr>
        <w:t xml:space="preserve">3. </w:t>
      </w:r>
      <w:r>
        <w:rPr>
          <w:rFonts w:ascii="Times New Roman" w:hAnsi="Times New Roman"/>
          <w:b/>
          <w:sz w:val="22"/>
        </w:rPr>
        <w:t>Xác nhận lại phạm vi công tác lễ tân nếu có quy định khác:</w:t>
      </w:r>
      <w:r>
        <w:rPr>
          <w:rFonts w:ascii="Times New Roman" w:hAnsi="Times New Roman"/>
          <w:b w:val="0"/>
          <w:sz w:val="22"/>
        </w:rPr>
        <w:t xml:space="preserve"> Giả định tại mã 6.3 (bao gồm khách trong và ngoài nước, không gồm đàm phán/ký kết) là hợp lý nhất theo văn bản hiện có; đề nghị Trường xác nhận chính thức nếu có quy định phân công khác.</w:t>
      </w:r>
    </w:p>
    <w:p>
      <w:pPr>
        <w:pStyle w:val="Heading2"/>
      </w:pPr>
      <w:r>
        <w:rPr>
          <w:rFonts w:ascii="Times New Roman" w:hAnsi="Times New Roman"/>
          <w:b/>
          <w:sz w:val="28"/>
        </w:rPr>
        <w:t>KẾT LUẬN ĐÁNH GIÁ CHUNG</w:t>
      </w:r>
    </w:p>
    <w:p>
      <w:pPr>
        <w:ind w:left="340"/>
      </w:pPr>
      <w:r>
        <w:rPr>
          <w:rFonts w:ascii="Times New Roman" w:hAnsi="Times New Roman"/>
          <w:sz w:val="22"/>
        </w:rPr>
        <w:t xml:space="preserve">1. </w:t>
      </w:r>
      <w:r>
        <w:rPr>
          <w:rFonts w:ascii="Times New Roman" w:hAnsi="Times New Roman"/>
          <w:b/>
          <w:sz w:val="22"/>
        </w:rPr>
        <w:t>Tính đầy đủ:</w:t>
      </w:r>
      <w:r>
        <w:rPr>
          <w:rFonts w:ascii="Times New Roman" w:hAnsi="Times New Roman"/>
          <w:b w:val="0"/>
          <w:sz w:val="22"/>
        </w:rPr>
        <w:t xml:space="preserve"> Toàn bộ 03 nhóm nhiệm vụ (28 nội dung cụ thể) theo Điều 3, QĐ 2210/QĐ-CĐKT đã được rà soát và lượng hóa đầy đủ thành 20 mã tiêu chí, bao gồm cả "nhiệm vụ khác do Hiệu trưởng phân công" (mã 2.10) — không còn nội dung bỏ ngỏ.</w:t>
      </w:r>
    </w:p>
    <w:p>
      <w:pPr>
        <w:ind w:left="340"/>
      </w:pPr>
      <w:r>
        <w:rPr>
          <w:rFonts w:ascii="Times New Roman" w:hAnsi="Times New Roman"/>
          <w:sz w:val="22"/>
        </w:rPr>
        <w:t xml:space="preserve">2. </w:t>
      </w:r>
      <w:r>
        <w:rPr>
          <w:rFonts w:ascii="Times New Roman" w:hAnsi="Times New Roman"/>
          <w:b/>
          <w:sz w:val="22"/>
        </w:rPr>
        <w:t>Tính đúng:</w:t>
      </w:r>
      <w:r>
        <w:rPr>
          <w:rFonts w:ascii="Times New Roman" w:hAnsi="Times New Roman"/>
          <w:b w:val="0"/>
          <w:sz w:val="22"/>
        </w:rPr>
        <w:t xml:space="preserve"> Các nhiệm vụ được phân loại theo đúng nội hàm 06 trục quy định tại Thông báo 817/TB-CĐKT. Đáng chú ý, việc đối chiếu kỹ với Phụ lục Chỉ số KPI Trường đã phát hiện và điều chỉnh một sai lệch trong bản trước: nội dung "truyền thông, công khai thông tin" trước đây xếp vào Trục 1 thực chất khớp đúng mục 5.1 (Trục 5) của Trường — Phòng TH-HC&amp;QT nay không còn tiêu chí nào ở Trục 1. Các vùng giao thoa với Phòng QLKHCN&amp;HTPT (văn bản điện tử, truyền thông, lễ tân) đã được xác nhận rõ ràng cơ chế phân định.</w:t>
      </w:r>
    </w:p>
    <w:p>
      <w:pPr>
        <w:ind w:left="340"/>
      </w:pPr>
      <w:r>
        <w:rPr>
          <w:rFonts w:ascii="Times New Roman" w:hAnsi="Times New Roman"/>
          <w:sz w:val="22"/>
        </w:rPr>
        <w:t xml:space="preserve">3. </w:t>
      </w:r>
      <w:r>
        <w:rPr>
          <w:rFonts w:ascii="Times New Roman" w:hAnsi="Times New Roman"/>
          <w:b/>
          <w:sz w:val="22"/>
        </w:rPr>
        <w:t>Tính liên thông:</w:t>
      </w:r>
      <w:r>
        <w:rPr>
          <w:rFonts w:ascii="Times New Roman" w:hAnsi="Times New Roman"/>
          <w:b w:val="0"/>
          <w:sz w:val="22"/>
        </w:rPr>
        <w:t xml:space="preserve"> Khung tiêu chí của Phòng đã được liên thông đầy đủ theo chuỗi Trường → Tập thể lãnh đạo → cá nhân lãnh đạo phụ trách (Phần 4, 5), trong đó xác định rõ Phó Hiệu trưởng Nguyễn Trung Hiếu là người chỉ đạo trực tiếp, toàn diện đối với Phòng TH-HC&amp;QT theo Quyết định số 1305/QĐ-CĐKT.</w:t>
      </w:r>
    </w:p>
    <w:p>
      <w:pPr>
        <w:ind w:left="340"/>
      </w:pPr>
      <w:r>
        <w:rPr>
          <w:rFonts w:ascii="Times New Roman" w:hAnsi="Times New Roman"/>
          <w:sz w:val="22"/>
        </w:rPr>
        <w:t xml:space="preserve">4. </w:t>
      </w:r>
      <w:r>
        <w:rPr>
          <w:rFonts w:ascii="Times New Roman" w:hAnsi="Times New Roman"/>
          <w:b/>
          <w:sz w:val="22"/>
        </w:rPr>
        <w:t>Tính đo lường:</w:t>
      </w:r>
      <w:r>
        <w:rPr>
          <w:rFonts w:ascii="Times New Roman" w:hAnsi="Times New Roman"/>
          <w:b w:val="0"/>
          <w:sz w:val="22"/>
        </w:rPr>
        <w:t xml:space="preserve"> Toàn bộ KPI được thiết kế dưới dạng tỷ lệ, số lượng, kết quả cụ thể, có thể thu thập từ hồ sơ/sổ sách/báo cáo định kỳ của Phòng, đạt yêu cầu SMART; việc tách các tiêu chí gộp trước đây thành 20 mã riêng biệt giúp thuận tiện giao chỉ số cho từng cá nhân phụ trách.</w:t>
      </w:r>
    </w:p>
    <w:p>
      <w:pPr>
        <w:ind w:left="340"/>
      </w:pPr>
      <w:r>
        <w:rPr>
          <w:rFonts w:ascii="Times New Roman" w:hAnsi="Times New Roman"/>
          <w:sz w:val="22"/>
        </w:rPr>
        <w:t xml:space="preserve">5. </w:t>
      </w:r>
      <w:r>
        <w:rPr>
          <w:rFonts w:ascii="Times New Roman" w:hAnsi="Times New Roman"/>
          <w:b/>
          <w:sz w:val="22"/>
        </w:rPr>
        <w:t>Tính quản trị:</w:t>
      </w:r>
      <w:r>
        <w:rPr>
          <w:rFonts w:ascii="Times New Roman" w:hAnsi="Times New Roman"/>
          <w:b w:val="0"/>
          <w:sz w:val="22"/>
        </w:rPr>
        <w:t xml:space="preserve"> Khung tiêu chí được viết theo văn phong đánh giá kết quả (bảo đảm số lượng, chất lượng, tiến độ; đúng quy trình, đúng kế hoạch) thay vì liệt kê nhiệm vụ, tập trung vào </w:t>
      </w:r>
      <w:r>
        <w:rPr>
          <w:rFonts w:ascii="Times New Roman" w:hAnsi="Times New Roman"/>
          <w:b/>
          <w:sz w:val="22"/>
        </w:rPr>
        <w:t>kết quả đầu ra</w:t>
      </w:r>
      <w:r>
        <w:rPr>
          <w:rFonts w:ascii="Times New Roman" w:hAnsi="Times New Roman"/>
          <w:b w:val="0"/>
          <w:sz w:val="22"/>
        </w:rPr>
        <w:t xml:space="preserve"> (tỷ lệ kế hoạch/chương trình công tác đúng tiến độ, tỷ lệ tài sản được quản lý đúng quy định, mức độ phát triển thương hiệu Trường, số vụ việc mất an ninh không xảy ra...), giúp Hiệu trưởng đánh giá được giá trị/kết quả thực chất mà Phòng TH-HC&amp;QT tạo ra cho Trường.</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