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(01 phút 11 giây)</w:t>
            </w:r>
          </w:p>
        </w:tc>
        <w:tc>
          <w:tcPr>
            <w:tcW w:type="dxa" w:w="5669"/>
          </w:tcPr>
          <w:p>
            <w:pPr>
              <w:spacing w:after="0"/>
              <w:jc w:val="left"/>
            </w:pPr>
            <w:r/>
            <w:r>
              <w:rPr>
                <w:b w:val="0"/>
                <w:i w:val="0"/>
                <w:sz w:val="26"/>
              </w:rPr>
              <w:t>Để video chạy: Chọn thư mục dữ liệu, giao việc, công cụ làm việc, cuối video là tệp kết quả. Nói chen: “Công cụ đang đọc từng tệp, kiểm tra mẫu, thời hạn, sản phẩm.”</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Chỉ 03 điểm: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(56 giây, cuối video là bảng đối chiếu)</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04:45</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(01 phút 02 giây)</w:t>
            </w:r>
          </w:p>
        </w:tc>
        <w:tc>
          <w:tcPr>
            <w:tcW w:type="dxa" w:w="5669"/>
          </w:tcPr>
          <w:p>
            <w:pPr>
              <w:spacing w:after="0"/>
              <w:jc w:val="left"/>
            </w:pPr>
            <w:r/>
            <w:r>
              <w:rPr>
                <w:b w:val="0"/>
                <w:i w:val="0"/>
                <w:sz w:val="26"/>
              </w:rPr>
              <w:t>Để video chạy, cuối video là dự thảo báo cáo và phụ lục đối chiếu; nói chen: “Công cụ phát triển từ báo cáo tháng trước, giữ lời văn của cơ quan.”</w:t>
            </w:r>
          </w:p>
        </w:tc>
      </w:tr>
      <w:tr>
        <w:tc>
          <w:tcPr>
            <w:tcW w:type="dxa" w:w="907"/>
          </w:tcPr>
          <w:p>
            <w:pPr>
              <w:spacing w:after="0"/>
              <w:jc w:val="center"/>
            </w:pPr>
            <w:r/>
            <w:r>
              <w:rPr>
                <w:b w:val="0"/>
                <w:i w:val="0"/>
                <w:sz w:val="26"/>
              </w:rPr>
              <w:t>01:15</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Chỉ 03 điểm: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03:30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(01 phút 01 giây, cuối video là báo cáo rà soát)</w:t>
            </w:r>
          </w:p>
        </w:tc>
        <w:tc>
          <w:tcPr>
            <w:tcW w:type="dxa" w:w="5669"/>
          </w:tcPr>
          <w:p>
            <w:pPr>
              <w:spacing w:after="0"/>
              <w:jc w:val="left"/>
            </w:pPr>
            <w:r/>
            <w:r>
              <w:rPr>
                <w:b w:val="0"/>
                <w:i w:val="0"/>
                <w:sz w:val="26"/>
              </w:rPr>
              <w:t>Văn bản rà soát là một dự thảo văn bản của Đảng đã đổi tên cơ quan, đổi cấp để ẩn danh. Công cụ tự nhận ra văn bản của Đảng, áp Hướng dẫn số 05-HD/VPTW, không áp Nghị định số 30/2020/NĐ-CP.</w:t>
            </w:r>
          </w:p>
        </w:tc>
      </w:tr>
      <w:tr>
        <w:tc>
          <w:tcPr>
            <w:tcW w:type="dxa" w:w="907"/>
          </w:tcPr>
          <w:p>
            <w:pPr>
              <w:spacing w:after="0"/>
              <w:jc w:val="center"/>
            </w:pPr>
            <w:r/>
            <w:r>
              <w:rPr>
                <w:b w:val="0"/>
                <w:i w:val="0"/>
                <w:sz w:val="26"/>
              </w:rPr>
              <w:t>03:00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32 (lượt chạy nhanh trên Cowork)</w:t>
            </w:r>
          </w:p>
        </w:tc>
        <w:tc>
          <w:tcPr>
            <w:tcW w:type="dxa" w:w="5669"/>
          </w:tcPr>
          <w:p>
            <w:pPr>
              <w:spacing w:after="0"/>
              <w:jc w:val="left"/>
            </w:pPr>
            <w:r/>
            <w:r>
              <w:rPr>
                <w:b w:val="0"/>
                <w:i w:val="0"/>
                <w:sz w:val="26"/>
              </w:rPr>
              <w:t>Cùng văn bản, lượt chạy nhanh chỉ ra 06 phát hiện, trong đó 01 phát hiện sai.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06:30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Trân trọng cảm ơn các đồng chí.</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