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sz w:val="30"/>
        </w:rPr>
        <w:t>KHUNG TIÊU CHÍ ĐÁNH GIÁ KẾT QUẢ THỰC HIỆN NHIỆM VỤ</w:t>
      </w:r>
    </w:p>
    <w:p>
      <w:pPr>
        <w:pStyle w:val="Heading2"/>
      </w:pPr>
      <w:r>
        <w:rPr>
          <w:rFonts w:ascii="Times New Roman" w:hAnsi="Times New Roman"/>
          <w:b/>
          <w:sz w:val="28"/>
        </w:rPr>
        <w:t>KHOA SƯ PHẠM</w:t>
      </w:r>
    </w:p>
    <w:p>
      <w:r>
        <w:rPr>
          <w:rFonts w:ascii="Times New Roman" w:hAnsi="Times New Roman"/>
          <w:i/>
          <w:sz w:val="22"/>
        </w:rPr>
        <w:t>Xây dựng trên cơ sở: Quyết định số 673/QĐ-CĐKT ngày 14/7/2023 (vị trí, chức năng, nhiệm vụ, quyền hạn khoa Sư phạm); Thông báo số 817/TB-CĐKT ngày 14/7/2026 (nội hàm 06 trục kết quả trọng tâm); Khung tiêu chí đánh giá Đơn vị Trường và Phụ lục Chỉ số KPI của Trường (đối chiếu trực tiếp mục 1.3, 1.5, 1.6, 1.7, 4.1, 4.3, 5.2, 5.4); Khung tiêu chí Tập thể lãnh đạo, Hiệu trưởng, Phó Hiệu trưởng; Quyết định số 1305/QĐ-CĐKT ngày 27/5/2026 (phân công nhiệm vụ Lãnh đạo Trường).</w:t>
      </w:r>
    </w:p>
    <w:p>
      <w:pPr>
        <w:ind w:left="425"/>
      </w:pPr>
      <w:r>
        <w:rPr>
          <w:rFonts w:ascii="Times New Roman" w:hAnsi="Times New Roman"/>
          <w:b/>
          <w:i/>
          <w:sz w:val="21"/>
        </w:rPr>
        <w:t>Bản cập nhật lần 2 (rà soát theo yêu cầu):</w:t>
      </w:r>
      <w:r>
        <w:rPr>
          <w:rFonts w:ascii="Times New Roman" w:hAnsi="Times New Roman"/>
          <w:b w:val="0"/>
          <w:i/>
          <w:sz w:val="21"/>
        </w:rPr>
        <w:t xml:space="preserve"> So với bản trước, khung tiêu chí này đã: (1) viết lại toàn bộ tiêu chí theo văn phong đánh giá kết quả (dùng các cụm "bảo đảm số lượng, chất lượng, tiến độ", "đúng quy trình", "đúng kế hoạch"...) thay vì liệt kê nhiệm vụ; (2) </w:t>
      </w:r>
      <w:r>
        <w:rPr>
          <w:rFonts w:ascii="Times New Roman" w:hAnsi="Times New Roman"/>
          <w:b/>
          <w:i/>
          <w:sz w:val="21"/>
        </w:rPr>
        <w:t>tách nhỏ các tiêu chí gộp nhiều đối tượng/chương trình</w:t>
      </w:r>
      <w:r>
        <w:rPr>
          <w:rFonts w:ascii="Times New Roman" w:hAnsi="Times New Roman"/>
          <w:b w:val="0"/>
          <w:i/>
          <w:sz w:val="21"/>
        </w:rPr>
        <w:t xml:space="preserve"> trước đây thành các tiêu chí độc lập, thuận tiện giao cho từng cá nhân/tổ bộ môn phụ trách: bồi dưỡng, chuẩn hóa giáo viên Sư phạm (mã 1.3) tách khỏi bồi dưỡng nghiệp vụ quản lý giáo dục cho cán bộ quản lý (mã 1.4) và bồi dưỡng nghiệp vụ sư phạm cho nhà giáo dạy nghề (mã 1.5) — ba chương trình có đối tượng, quy trình khác nhau; đào tạo/bồi dưỡng tiếng dân tộc thiểu số (mã 1.6) tách khỏi dạy tiếng Việt cho người nước ngoài (mã 1.7); tập huấn đổi mới phương pháp dạy học/NCKH (mã 1.8) tách khỏi dịch vụ khoa học công nghệ giáo dục (mã 1.9); (3) chính thức đưa "nhiệm vụ khác do Hiệu trưởng phân công" vào khung tiêu chí (mã 1.11).</w:t>
      </w:r>
    </w:p>
    <w:p>
      <w:pPr>
        <w:ind w:left="425"/>
      </w:pPr>
      <w:r>
        <w:rPr>
          <w:rFonts w:ascii="Times New Roman" w:hAnsi="Times New Roman"/>
          <w:b/>
          <w:i/>
          <w:sz w:val="21"/>
        </w:rPr>
        <w:t>Các nội dung đã được xác nhận/xử lý (không còn là kiến nghị mở):</w:t>
      </w:r>
      <w:r>
        <w:rPr>
          <w:rFonts w:ascii="Times New Roman" w:hAnsi="Times New Roman"/>
          <w:b w:val="0"/>
          <w:i/>
          <w:sz w:val="21"/>
        </w:rPr>
        <w:t xml:space="preserve"> - </w:t>
      </w:r>
      <w:r>
        <w:rPr>
          <w:rFonts w:ascii="Times New Roman" w:hAnsi="Times New Roman"/>
          <w:b/>
          <w:i/>
          <w:sz w:val="21"/>
        </w:rPr>
        <w:t>Ranh giới với Phòng QLĐT&amp;BĐCL:</w:t>
      </w:r>
      <w:r>
        <w:rPr>
          <w:rFonts w:ascii="Times New Roman" w:hAnsi="Times New Roman"/>
          <w:b w:val="0"/>
          <w:i/>
          <w:sz w:val="21"/>
        </w:rPr>
        <w:t xml:space="preserve"> Khoa tổ chức giảng dạy, bồi dưỡng trực tiếp; Phòng QLĐT&amp;BĐCL quản lý, phê duyệt, theo dõi thực hiện ở cấp Trường — áp dụng đúng nguyên tắc đã xác nhận khi xây dựng khung tiêu chí của Phòng QLĐT&amp;BĐCL. Riêng các chương trình bồi dưỡng giáo viên/CBQL phục vụ toàn tỉnh (mã 1.3, 1.4), Khoa là đơn vị trực tiếp tổ chức thực hiện theo kế hoạch được Sở Giáo dục và Đào tạo hoặc Ủy ban nhân dân tỉnh phê duyệt/giao chỉ tiêu (nếu có).  </w:t>
      </w:r>
      <w:r>
        <w:rPr>
          <w:rFonts w:ascii="Times New Roman" w:hAnsi="Times New Roman"/>
          <w:b/>
          <w:i/>
          <w:sz w:val="21"/>
        </w:rPr>
        <w:t>Nội dung còn cần xác nhận thêm:</w:t>
      </w:r>
      <w:r>
        <w:rPr>
          <w:rFonts w:ascii="Times New Roman" w:hAnsi="Times New Roman"/>
          <w:b w:val="0"/>
          <w:i/>
          <w:sz w:val="21"/>
        </w:rPr>
        <w:t xml:space="preserve"> Bổ sung KPI định lượng theo tỷ lệ hoàn thành chỉ tiêu bồi dưỡng toàn tỉnh khi Sở Giáo dục và Đào tạo hoặc Ủy ban nhân dân tỉnh giao chỉ tiêu cụ thể hằng năm — xem Phần 7.</w:t>
      </w:r>
    </w:p>
    <w:p>
      <w:pPr>
        <w:ind w:left="425"/>
      </w:pPr>
      <w:r>
        <w:rPr>
          <w:rFonts w:ascii="Times New Roman" w:hAnsi="Times New Roman"/>
          <w:b/>
          <w:i/>
          <w:sz w:val="21"/>
        </w:rPr>
        <w:t>Căn cứ phân công lãnh đạo:</w:t>
      </w:r>
      <w:r>
        <w:rPr>
          <w:rFonts w:ascii="Times New Roman" w:hAnsi="Times New Roman"/>
          <w:b w:val="0"/>
          <w:i/>
          <w:sz w:val="21"/>
        </w:rPr>
        <w:t xml:space="preserve"> Theo Quyết định số 1305/QĐ-CĐKT, </w:t>
      </w:r>
      <w:r>
        <w:rPr>
          <w:rFonts w:ascii="Times New Roman" w:hAnsi="Times New Roman"/>
          <w:b/>
          <w:i/>
          <w:sz w:val="21"/>
        </w:rPr>
        <w:t>Phó Hiệu trưởng Dương Văn Anh Dũng</w:t>
      </w:r>
      <w:r>
        <w:rPr>
          <w:rFonts w:ascii="Times New Roman" w:hAnsi="Times New Roman"/>
          <w:b w:val="0"/>
          <w:i/>
          <w:sz w:val="21"/>
        </w:rPr>
        <w:t xml:space="preserve"> "chỉ đạo toàn diện công tác" của khoa Sư phạm (cùng với khoa Đào tạo và Sát hạch lái xe), đồng thời "theo dõi, chỉ đạo" đơn vị này và "phụ trách chung về công tác đào tạo và bảo đảm chất lượng" của toàn Trường.</w:t>
      </w:r>
    </w:p>
    <w:p>
      <w:pPr>
        <w:pStyle w:val="Heading2"/>
      </w:pPr>
      <w:r>
        <w:rPr>
          <w:rFonts w:ascii="Times New Roman" w:hAnsi="Times New Roman"/>
          <w:b/>
          <w:sz w:val="28"/>
        </w:rPr>
        <w:t>PHẦN 1. PHÂN TÍCH CHỨC NĂNG, NHIỆM VỤ KHOA SƯ PHẠM</w:t>
      </w:r>
    </w:p>
    <w:p>
      <w:r>
        <w:rPr>
          <w:rFonts w:ascii="Times New Roman" w:hAnsi="Times New Roman"/>
          <w:b/>
          <w:sz w:val="22"/>
        </w:rPr>
        <w:t>Vị trí:</w:t>
      </w:r>
      <w:r>
        <w:rPr>
          <w:rFonts w:ascii="Times New Roman" w:hAnsi="Times New Roman"/>
          <w:b w:val="0"/>
          <w:sz w:val="22"/>
        </w:rPr>
        <w:t xml:space="preserve"> Đơn vị chuyên môn thuộc Trường (Điều 2.1, QĐ 673/QĐ-CĐKT).</w:t>
      </w:r>
    </w:p>
    <w:p>
      <w:r>
        <w:rPr>
          <w:rFonts w:ascii="Times New Roman" w:hAnsi="Times New Roman"/>
          <w:b/>
          <w:sz w:val="22"/>
        </w:rPr>
        <w:t>Chức năng:</w:t>
      </w:r>
      <w:r>
        <w:rPr>
          <w:rFonts w:ascii="Times New Roman" w:hAnsi="Times New Roman"/>
          <w:b w:val="0"/>
          <w:sz w:val="22"/>
        </w:rPr>
        <w:t xml:space="preserve"> Đào tạo trình độ cao đẳng ngành Giáo dục Mầm non; tổ chức quản lý, triển khai chương trình bồi dưỡng giáo viên các bậc học từ mầm non đến trung học cơ sở và các chương trình đào tạo, bồi dưỡng khác; nghiên cứu khoa học và triển khai ứng dụng khoa học, công nghệ giáo dục để tạo sản phẩm, dịch vụ, góp phần cung ứng nguồn lực giáo dục và phát triển kinh tế – xã hội của tỉnh.</w:t>
      </w:r>
    </w:p>
    <w:p>
      <w:r>
        <w:rPr>
          <w:rFonts w:ascii="Times New Roman" w:hAnsi="Times New Roman"/>
          <w:b/>
          <w:sz w:val="22"/>
        </w:rPr>
        <w:t>Nhiệm vụ, quyền hạn (Điều 3)</w:t>
      </w:r>
      <w:r>
        <w:rPr>
          <w:rFonts w:ascii="Times New Roman" w:hAnsi="Times New Roman"/>
          <w:b w:val="0"/>
          <w:sz w:val="22"/>
        </w:rPr>
        <w:t xml:space="preserve"> — gồm 02 nhóm:</w:t>
      </w:r>
    </w:p>
    <w:tbl>
      <w:tblPr>
        <w:tblW w:type="auto" w:w="0"/>
        <w:tblLayout w:type="fixed"/>
        <w:tblLook w:firstColumn="1" w:firstRow="1" w:lastColumn="0" w:lastRow="0" w:noHBand="0" w:noVBand="1" w:val="04A0"/>
      </w:tblPr>
      <w:tblGrid>
        <w:gridCol w:w="7070"/>
        <w:gridCol w:w="7070"/>
      </w:tblGrid>
      <w:tr>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Nhóm</w:t>
            </w:r>
          </w:p>
        </w:tc>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Nội dung khái quát</w:t>
            </w:r>
          </w:p>
        </w:tc>
      </w:tr>
      <w:tr>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đào tạo, bồi dưỡng (08 nội dung, điểm a–h): đào tạo GV Mầm non; liên kết đào tạo đại học; bồi dưỡng, chuẩn hóa GV và CBQL giáo dục; bồi dưỡng nghiệp vụ sư phạm; tập huấn đổi mới PP dạy học; đào tạo/bồi dưỡng tiếng DTTS; dạy tiếng Việt cho người nước ngoài; dịch vụ KHCN giáo dục</w:t>
            </w:r>
          </w:p>
        </w:tc>
      </w:tr>
      <w:tr>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w:t>
            </w:r>
          </w:p>
        </w:tc>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quản lý (07 nội dung, điểm a–g): phát triển đội ngũ, CSVC; chính trị tư tưởng, bồi dưỡng nhà giáo; quản lý nhà giáo – viên chức – người học; kế hoạch làm việc; đánh giá cán bộ; quản lý CSVC, trang thiết bị; nhiệm vụ khác</w:t>
            </w:r>
          </w:p>
        </w:tc>
      </w:tr>
    </w:tbl>
    <w:p/>
    <w:p>
      <w:r>
        <w:rPr>
          <w:rFonts w:ascii="Times New Roman" w:hAnsi="Times New Roman"/>
          <w:b/>
          <w:sz w:val="22"/>
        </w:rPr>
        <w:t>Nhận xét đối chiếu 08 yêu cầu:</w:t>
      </w:r>
      <w:r>
        <w:rPr>
          <w:rFonts w:ascii="Times New Roman" w:hAnsi="Times New Roman"/>
          <w:b w:val="0"/>
          <w:sz w:val="22"/>
        </w:rPr>
        <w:t xml:space="preserve"> Toàn bộ 02 nhóm nhiệm vụ (15 nội dung cụ thể) đã được rà soát và đưa vào Khung tiêu chí tại Phần 3, bao gồm cả "nhiệm vụ khác do Hiệu trưởng phân công" (nay là mã 1.11).</w:t>
      </w:r>
    </w:p>
    <w:p>
      <w:pPr>
        <w:pStyle w:val="Heading2"/>
      </w:pPr>
      <w:r>
        <w:rPr>
          <w:rFonts w:ascii="Times New Roman" w:hAnsi="Times New Roman"/>
          <w:b/>
          <w:sz w:val="28"/>
        </w:rPr>
        <w:t>PHẦN 2. MA TRẬN PHÂN LOẠI NHIỆM VỤ VÀO 06 TRỤC</w:t>
      </w:r>
    </w:p>
    <w:tbl>
      <w:tblPr>
        <w:tblW w:type="auto" w:w="0"/>
        <w:tblLayout w:type="fixed"/>
        <w:tblLook w:firstColumn="1" w:firstRow="1" w:lastColumn="0" w:lastRow="0" w:noHBand="0" w:noVBand="1" w:val="04A0"/>
      </w:tblPr>
      <w:tblGrid>
        <w:gridCol w:w="3535"/>
        <w:gridCol w:w="3535"/>
        <w:gridCol w:w="3535"/>
        <w:gridCol w:w="3535"/>
      </w:tblGrid>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Nhiệm vụ chức năng (Điều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chính</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phối hợp</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Lý do phân loại</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1.a: Đào tạo giáo viên trình độ trung cấp, cao đẳng ngành Giáo dục Mầm non</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3 – Đào tạo)</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Cốt lõi tổ chức giảng dạy</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1.b: Tổ chức quản lý dạy học các lớp liên kết đào tạo trình độ đại học khối ngành Sư phạm</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 (nội hàm 7 – liên kết với cơ sở giáo dục đại học)</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Vừa là tổ chức đào tạo, vừa là hoạt động liên kết với cơ sở giáo dục đại học</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1.c (phần chuẩn hóa GV): Bồi dưỡng, chuẩn hóa, nâng chuẩn, nâng ngạch giáo viên khối ngành Sư phạm</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vì đối tượng, quy trình khác với bồi dưỡng CBQL và nhà giáo dạy nghề</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1.c (phần CBQL): Bồi dưỡng nghiệp vụ quản lý giáo dục cho cán bộ quản lý, giáo viên quy hoạch cán bộ quản lý các cấp học Mầm non, Tiểu học, THCS</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vì đối tượng là cán bộ quản lý, khác với giáo viên đứng lớp</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1.d: Bồi dưỡng nghiệp vụ sư phạm cho nhà giáo dạy nghề trình độ sơ cấp, trung cấp, cao đẳng; chuyên đề Nhà trẻ, Giáo dục Mầm non trong tỉnh</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vì đối tượng là nhà giáo dạy nghề (không thuộc hệ thống giáo dục phổ thông), khác hai nhóm trên</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1.e (phần tiếng DTTS): Đào tạo giáo viên dạy tiếng Dân tộc thiểu số; bồi dưỡng tiếng DTTS cho cán bộ, công chức, viên chức tỉnh</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7 – Quan hệ với cơ sở giáo dục, gia đình và xã hội)</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Nội hàm 7 nêu rõ "tiếng dân tộc thiểu số"; tách riêng khỏi tiếng Việt cho người nước ngoài vì khác đối tượng</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1.g (phần tiếng Việt): Tổ chức quản lý, dạy học tiếng Việt cho người nước ngoài</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7)</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Nội hàm 7 nêu rõ "đào tạo tiếng Việt cho người nước ngoài"; tách riêng theo đối tượng</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1.đ (phần tập huấn, NCKH): Tập huấn đổi mới nội dung, phương pháp dạy học; tổ chức, triển khai nghiên cứu khoa học</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5 – KHCN và đổi mới hoạt động chuyên môn)</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dịch vụ KHCN vì là hoạt động bồi dưỡng chuyên môn, nghiên cứu học thuật</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1.h: Triển khai sản phẩm, dịch vụ khoa học công nghệ Giáo dục theo chức năng, nhiệm vụ được giao</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5)</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vì là kết quả ứng dụng, dịch vụ cụ thể</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2.a: Kế hoạch phát triển đội ngũ giảng viên; CSVC phục vụ đào tạo, NCKH; tăng cường điều kiện bảo đảm chất lượng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4 – Bảo đảm chất lượng)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4 (nội hàm 3 – phát triển đội ngũ)</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Tương tự cách phân loại đã áp dụng cho các khoa trước</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2.b: Phối hợp giáo dục chính trị, tư tưởng, đạo đức, lối sống cho nhà giáo, người học; kế hoạch đào tạo, bồi dưỡng nâng cao trình độ chuyên môn, nghiệp vụ cho nhà giáo, viên chức</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4</w:t>
            </w:r>
            <w:r>
              <w:rPr>
                <w:rFonts w:ascii="Times New Roman" w:hAnsi="Times New Roman"/>
                <w:b w:val="0"/>
                <w:sz w:val="19"/>
              </w:rPr>
              <w:t xml:space="preserve"> (nội hàm 1,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Khớp trực tiếp</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2.c: Quản lý nhà giáo, viên chức và người học thuộc Khoa theo phân cấp</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4</w:t>
            </w:r>
            <w:r>
              <w:rPr>
                <w:rFonts w:ascii="Times New Roman" w:hAnsi="Times New Roman"/>
                <w:b w:val="0"/>
                <w:sz w:val="19"/>
              </w:rPr>
              <w:t xml:space="preserve"> (nội hàm 3 – phần viên chức)</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 (nội hàm 2 – phần người học)</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Tương tự các khoa trước</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2.d: Kế hoạch làm việc hằng năm, quý, tháng, tuần</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2</w:t>
            </w:r>
            <w:r>
              <w:rPr>
                <w:rFonts w:ascii="Times New Roman" w:hAnsi="Times New Roman"/>
                <w:b w:val="0"/>
                <w:sz w:val="19"/>
              </w:rPr>
              <w:t xml:space="preserve"> (nội hàm 2)</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Khớp trực tiếp</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2.đ: Tổ chức đánh giá cán bộ quản lý, nhà giáo, viên chức trong Khoa; tham gia đánh giá cán bộ quản lý Trường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4</w:t>
            </w:r>
            <w:r>
              <w:rPr>
                <w:rFonts w:ascii="Times New Roman" w:hAnsi="Times New Roman"/>
                <w:b w:val="0"/>
                <w:sz w:val="19"/>
              </w:rPr>
              <w:t xml:space="preserve"> (nội hàm 3 – Tổ chức cán bộ: đánh giá cán bộ)</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Khớp trực tiếp</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2.e: Quản lý, sử dụng hiệu quả cơ sở vật chất, trang thiết bị đào tạo; đề xuất bổ sung, sửa chữa, bảo trì</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5</w:t>
            </w:r>
            <w:r>
              <w:rPr>
                <w:rFonts w:ascii="Times New Roman" w:hAnsi="Times New Roman"/>
                <w:b w:val="0"/>
                <w:sz w:val="19"/>
              </w:rPr>
              <w:t xml:space="preserve"> (nội hàm 4 – Quản lý tài sản, cơ sở vật chất)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Khớp trực tiếp, ở phạm vi CSVC được Khoa trực tiếp sử dụng</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2.g: "Nhiệm vụ khác... do Hiệu trưởng phân công"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8, theo nguyên tắc chung áp dụng cho nhiệm vụ đột xuất)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xác nhận đưa vào khung tiêu chí</w:t>
            </w:r>
            <w:r>
              <w:rPr>
                <w:rFonts w:ascii="Times New Roman" w:hAnsi="Times New Roman"/>
                <w:b w:val="0"/>
                <w:sz w:val="19"/>
              </w:rPr>
              <w:t xml:space="preserve"> theo nội dung: "Hoàn thành các nhiệm vụ khác do Hiệu trưởng phân công bảo đảm số lượng, chất lượng, tiến độ"</w:t>
            </w:r>
          </w:p>
        </w:tc>
      </w:tr>
    </w:tbl>
    <w:p/>
    <w:p>
      <w:r>
        <w:rPr>
          <w:rFonts w:ascii="Times New Roman" w:hAnsi="Times New Roman"/>
          <w:b/>
          <w:sz w:val="22"/>
        </w:rPr>
        <w:t>Trục 3, 6:</w:t>
      </w:r>
      <w:r>
        <w:rPr>
          <w:rFonts w:ascii="Times New Roman" w:hAnsi="Times New Roman"/>
          <w:b w:val="0"/>
          <w:sz w:val="22"/>
        </w:rPr>
        <w:t xml:space="preserve"> Khoa Sư phạm </w:t>
      </w:r>
      <w:r>
        <w:rPr>
          <w:rFonts w:ascii="Times New Roman" w:hAnsi="Times New Roman"/>
          <w:b/>
          <w:sz w:val="22"/>
        </w:rPr>
        <w:t>không có nhiệm vụ trực tiếp theo chức năng được giao</w:t>
      </w:r>
      <w:r>
        <w:rPr>
          <w:rFonts w:ascii="Times New Roman" w:hAnsi="Times New Roman"/>
          <w:b w:val="0"/>
          <w:sz w:val="22"/>
        </w:rPr>
        <w:t xml:space="preserve"> thuộc hai trục này — khác với Khoa các Khoa học cơ bản (có chức năng CNTT/thư viện – học liệu do sáp nhập đơn vị khác), Khoa Sư phạm không được giao chức năng, nhiệm vụ nào liên quan công nghệ thông tin, chuyển đổi số, quốc phòng – an ninh hay đối ngoại.</w:t>
      </w:r>
    </w:p>
    <w:p>
      <w:pPr>
        <w:pStyle w:val="Heading2"/>
      </w:pPr>
      <w:r>
        <w:rPr>
          <w:rFonts w:ascii="Times New Roman" w:hAnsi="Times New Roman"/>
          <w:b/>
          <w:sz w:val="28"/>
        </w:rPr>
        <w:t>PHẦN 3. KHUNG TIÊU CHÍ ĐÁNH GIÁ KẾT QUẢ THỰC HIỆN NHIỆM VỤ CỦA KHOA (thang điểm 70)</w:t>
      </w:r>
    </w:p>
    <w:p>
      <w:pPr>
        <w:pStyle w:val="Heading3"/>
      </w:pPr>
      <w:r>
        <w:rPr>
          <w:rFonts w:ascii="Times New Roman" w:hAnsi="Times New Roman"/>
          <w:b/>
          <w:sz w:val="26"/>
        </w:rPr>
        <w:t>Bảng phân bổ điểm theo 06 trục</w:t>
      </w:r>
    </w:p>
    <w:tbl>
      <w:tblPr>
        <w:tblW w:type="auto" w:w="0"/>
        <w:tblLayout w:type="fixed"/>
        <w:tblLook w:firstColumn="1" w:firstRow="1" w:lastColumn="0" w:lastRow="0" w:noHBand="0" w:noVBand="1" w:val="04A0"/>
      </w:tblPr>
      <w:tblGrid>
        <w:gridCol w:w="4713"/>
        <w:gridCol w:w="4713"/>
        <w:gridCol w:w="4713"/>
      </w:tblGrid>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Điểm phân bổ</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Căn cứ phân bổ</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45</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Chức năng cốt lõi và có phạm vi rất rộng: đào tạo chính quy, liên kết đại học, bồi dưỡng chuẩn hóa giáo viên/CBQL/nhà giáo dạy nghề toàn tỉnh, đào tạo/bồi dưỡng tiếng DTTS, dạy tiếng Việt cho người nước ngoài, tập huấn/NCKH, dịch vụ KHCN giáo dục, bảo đảm chất lượng, nhiệm vụ khác — chiếm tỷ trọng cao nhất (64,3%)</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2</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05</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công tác của Khoa</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3</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00</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có nhiệm vụ trực tiếp theo chức năng được giao (khác với Khoa các Khoa học cơ bản)</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4</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12</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đội ngũ nhà giáo, viên chức: chính trị tư tưởng, đào tạo bồi dưỡng, đánh giá cán bộ</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08</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người học thuộc Khoa và cơ sở vật chất, trang thiết bị đào tạo</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6</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00</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có nhiệm vụ trực tiếp theo chức năng được giao</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Tổng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70</w:t>
            </w:r>
          </w:p>
        </w:tc>
        <w:tc>
          <w:tcPr>
            <w:tcW w:type="dxa" w:w="4713"/>
            <w:tcBorders>
              <w:top w:val="single" w:sz="4" w:space="0" w:color="000000"/>
              <w:left w:val="single" w:sz="4" w:space="0" w:color="000000"/>
              <w:bottom w:val="single" w:sz="4" w:space="0" w:color="000000"/>
              <w:right w:val="single" w:sz="4" w:space="0" w:color="000000"/>
            </w:tcBorders>
          </w:tcPr>
          <w:p>
            <w:r/>
          </w:p>
        </w:tc>
      </w:tr>
    </w:tbl>
    <w:p/>
    <w:p>
      <w:pPr>
        <w:pStyle w:val="Heading3"/>
      </w:pPr>
      <w:r>
        <w:rPr>
          <w:rFonts w:ascii="Times New Roman" w:hAnsi="Times New Roman"/>
          <w:b/>
          <w:sz w:val="26"/>
        </w:rPr>
        <w:t>Bảng tiêu chí chi tiết và phân rã điểm</w:t>
      </w:r>
    </w:p>
    <w:tbl>
      <w:tblPr>
        <w:tblW w:type="auto" w:w="0"/>
        <w:tblLayout w:type="fixed"/>
        <w:tblLook w:firstColumn="1" w:firstRow="1" w:lastColumn="0" w:lastRow="0" w:noHBand="0" w:noVBand="1" w:val="04A0"/>
      </w:tblPr>
      <w:tblGrid>
        <w:gridCol w:w="2020"/>
        <w:gridCol w:w="2020"/>
        <w:gridCol w:w="2020"/>
        <w:gridCol w:w="2020"/>
        <w:gridCol w:w="2020"/>
        <w:gridCol w:w="2020"/>
        <w:gridCol w:w="2020"/>
      </w:tblGrid>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Mã</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Điểm</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Nội hàm</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Tiêu chí đánh giá</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Chỉ số/KPI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Sản phẩm đầu ra/Minh chứng</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Đào tạo</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Giáo viên trình độ trung cấp, cao đẳng ngành Giáo dục Mầm non được đào tạo bảo đảm đúng kế hoạch, đúng chất lượng, bảo đảm tỷ lệ người học tốt nghiệp đúng hạn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kế hoạch giảng dạy được thực hiện đúng tiến độ; (2) Tỷ lệ người học hoàn thành môn học/mô đun đạt yêu cầu; (3) Tỷ lệ người học tốt nghiệp đúng hạn ngành Giáo dục Mầm non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giảng dạy; Sổ điểm, bảng điểm; Danh sách người học tốt nghiệp</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6</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Đào tạo; Quan hệ với cơ sở giáo dục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Các lớp liên kết đào tạo trình độ đại học khối ngành Sư phạm được tổ chức, quản lý bảo đảm đúng kế hoạch, bảo đảm tỷ lệ học viên hoàn thành chương trình đúng tiến độ</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Số lớp liên kết đào tạo đại học được tổ chức, quản lý đúng kế hoạch; (2) Tỷ lệ học viên các lớp liên kết hoàn thành chương trình đúng tiến độ</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Hợp đồng/thỏa thuận liên kết đào tạo; Kế hoạch, danh sách lớp liên kết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Đào tạo</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Giáo viên khối ngành Sư phạm được bồi dưỡng, chuẩn hóa, nâng chuẩn, nâng ngạch bảo đảm đúng kế hoạch, đủ số lượng học viên hoàn thành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lớp/khóa bồi dưỡng, chuẩn hóa giáo viên được tổ chức đúng kế hoạch và số học viên hoàn thành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danh sách lớp bồi dưỡng, chuẩn hóa; Chứng chỉ/chứng nhận hoàn thành</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Đào tạo</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Cán bộ quản lý, giáo viên quy hoạch cán bộ quản lý các cấp học Mầm non, Tiểu học, THCS được bồi dưỡng nghiệp vụ quản lý giáo dục bảo đảm đúng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lớp bồi dưỡng nghiệp vụ quản lý giáo dục được tổ chức đúng kế hoạch và số học viên hoàn thành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danh sách lớp bồi dưỡng nghiệp vụ quản lý giáo dục</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Đào tạo</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Nhà giáo dạy nghề trình độ sơ cấp, trung cấp, cao đẳng được bồi dưỡng nghiệp vụ sư phạm bảo đảm đúng kế hoạch; chuyên đề Nhà trẻ, Giáo dục Mầm non trong tỉnh được tổ chức đầy đủ</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lớp bồi dưỡng nghiệp vụ sư phạm cho nhà giáo dạy nghề được tổ chức đúng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danh sách lớp bồi dưỡng nghiệp vụ sư phạm</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1.6</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Quan hệ với cơ sở giáo dục, gia đình và xã hội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Giáo viên dạy tiếng Dân tộc thiểu số được đào tạo; cán bộ, công chức, viên chức tỉnh được bồi dưỡng tiếng DTTS bảo đảm đúng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lớp đào tạo/bồi dưỡng tiếng DTTS được tổ chức đúng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danh sách lớp tiếng DTTS</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1.7</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Quan hệ với cơ sở giáo dục, gia đình và xã hội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Tiếng Việt cho người nước ngoài được tổ chức quản lý, giảng dạy bảo đảm đúng kế hoạch, đủ số lượng học viên hoàn thành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lớp dạy tiếng Việt cho người nước ngoài được tổ chức, số học viên hoàn thành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chứng chỉ tiếng Việt cấp cho người nước ngoài</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1.8</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Khoa học, công nghệ và đổi mới hoạt động chuyên môn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Hoạt động tập huấn đổi mới nội dung, phương pháp dạy học và nghiên cứu khoa học được tổ chức, triển khai bảo đảm đúng kế hoạch, đúng chất lượng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hoạt động tập huấn đổi mới phương pháp dạy học, nghiên cứu khoa học được tổ chức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báo cáo tập huấn đổi mới phương pháp dạy học; Đề tài NCKH</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1.9</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Khoa học, công nghệ và đổi mới hoạt động chuyên môn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Sản phẩm, dịch vụ khoa học công nghệ giáo dục được triển khai bảo đảm hiệu quả theo đúng chức năng, nhiệm vụ được giao</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sản phẩm, dịch vụ khoa học công nghệ giáo dục được triển khai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Báo cáo sản phẩm, dịch vụ khoa học công nghệ giáo dục</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1.10</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Bảo đảm chất lượng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phát triển đội ngũ giảng viên và điều kiện cơ sở vật chất phục vụ đào tạo được xây dựng, thực hiện bảo đảm đạt mục tiêu chất lượng đào tạo đề ra</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chỉ tiêu về điều kiện bảo đảm chất lượng (đội ngũ, CSVC) đạt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phát triển đội ngũ, điều kiện bảo đảm chất lượng</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1.11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Thực hiện nhiệm vụ chính trị được giao (nhiệm vụ khác)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Hoàn thành các nhiệm vụ khác do Hiệu trưởng phân công bảo đảm số lượng, chất lượng, tiến độ</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hoàn thành đúng tiến độ, bảo đảm chất lượng các nhiệm vụ khác do Hiệu trưởng phân công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Văn bản giao nhiệm vụ và báo cáo kết quả thực hiện</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trị tổ chức và điều hành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làm việc hằng năm, quý, tháng, tuần của nhà giáo, viên chức, người lao động trong Khoa được xây dựng, tổ chức thực hiện bảo đảm đúng tiến độ, đúng định hướng nhà trường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kế hoạch làm việc các kỳ được xây dựng, ban hành đúng tiến độ; (2) Tỷ lệ kế hoạch được triển khai thực hiện đúng nội dung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làm việc các kỳ của Khoa; Báo cáo triển khai thực hiện</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chính trị, tư tưởng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giáo dục chính trị, tư tưởng, đạo đức, lối sống cho nhà giáo và người học được tổ chức bảo đảm đúng kế hoạch, đầy đủ nội dung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hoạt động giáo dục chính trị, tư tưởng được tổ chức đúng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báo cáo hoạt động giáo dục chính trị, tư tưởng</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tổ chức cán bộ (đào tạo, bồi dưỡng)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Đội ngũ nhà giáo, viên chức thuộc Khoa được đào tạo, bồi dưỡng nâng cao trình độ chuyên môn, nghiệp vụ bảo đảm đạt chuẩn theo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nhà giáo, viên chức được đào tạo, bồi dưỡng theo kế hoạch; (2) Tỷ lệ đội ngũ đạt chuẩn trình độ chuyên môn theo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đào tạo, bồi dưỡng đội ngũ; Danh sách nhà giáo, viên chức được cử đi đào tạo, bồi dưỡng</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tổ chức cán bộ (quản lý viên chức, đánh giá cán bộ)</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Nhà giáo, viên chức thuộc Khoa được quản lý theo phân cấp; công tác đánh giá cán bộ quản lý, nhà giáo, viên chức được tổ chức bảo đảm đúng thời hạn, đúng quy trình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hồ sơ quản lý viên chức được cập nhật đầy đủ, đúng quy định; (2) Tỷ lệ đánh giá cán bộ, viên chức hoàn thành đúng thời hạn, đúng quy trình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Hồ sơ quản lý viên chức thuộc Khoa; Kết quả đánh giá cán bộ, viên chức hằng năm</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Phát triển con người và quản lý người học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Người học thuộc Khoa được quản lý, theo dõi kết quả học tập, rèn luyện bảo đảm đầy đủ, đúng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người học được quản lý, theo dõi kết quả học tập, rèn luyện đầy đủ, đúng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Hồ sơ quản lý người học thuộc Khoa</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tài sản, cơ sở vật chất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Cơ sở vật chất, trang thiết bị đào tạo được sử dụng, bảo quản bảo đảm hiệu quả, đúng quy định; đề xuất bổ sung, sửa chữa, bảo trì được xử lý kịp thời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CSVC, trang thiết bị được sử dụng, bảo quản đúng quy định; (2) Tỷ lệ đề xuất bổ sung, sửa chữa, bảo trì được xử lý đúng tiến độ</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Sổ theo dõi sử dụng, bảo quản CSVC, trang thiết bị; Đề xuất bổ sung, sửa chữa, bảo trì</w:t>
            </w:r>
          </w:p>
        </w:tc>
      </w:tr>
      <w:tr>
        <w:tc>
          <w:tcPr>
            <w:tcW w:type="dxa" w:w="2020"/>
            <w:tcBorders>
              <w:top w:val="single" w:sz="4" w:space="0" w:color="000000"/>
              <w:left w:val="single" w:sz="4" w:space="0" w:color="000000"/>
              <w:bottom w:val="single" w:sz="4" w:space="0" w:color="000000"/>
              <w:right w:val="single" w:sz="4" w:space="0" w:color="000000"/>
            </w:tcBorders>
          </w:tcPr>
          <w:p>
            <w:r/>
          </w:p>
        </w:tc>
        <w:tc>
          <w:tcPr>
            <w:tcW w:type="dxa" w:w="2020"/>
            <w:tcBorders>
              <w:top w:val="single" w:sz="4" w:space="0" w:color="000000"/>
              <w:left w:val="single" w:sz="4" w:space="0" w:color="000000"/>
              <w:bottom w:val="single" w:sz="4" w:space="0" w:color="000000"/>
              <w:right w:val="single" w:sz="4" w:space="0" w:color="000000"/>
            </w:tcBorders>
          </w:tcPr>
          <w:p>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70</w:t>
            </w:r>
          </w:p>
        </w:tc>
        <w:tc>
          <w:tcPr>
            <w:tcW w:type="dxa" w:w="2020"/>
            <w:tcBorders>
              <w:top w:val="single" w:sz="4" w:space="0" w:color="000000"/>
              <w:left w:val="single" w:sz="4" w:space="0" w:color="000000"/>
              <w:bottom w:val="single" w:sz="4" w:space="0" w:color="000000"/>
              <w:right w:val="single" w:sz="4" w:space="0" w:color="000000"/>
            </w:tcBorders>
          </w:tcPr>
          <w:p>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TỔNG ĐIỂM</w:t>
            </w:r>
          </w:p>
        </w:tc>
        <w:tc>
          <w:tcPr>
            <w:tcW w:type="dxa" w:w="2020"/>
            <w:tcBorders>
              <w:top w:val="single" w:sz="4" w:space="0" w:color="000000"/>
              <w:left w:val="single" w:sz="4" w:space="0" w:color="000000"/>
              <w:bottom w:val="single" w:sz="4" w:space="0" w:color="000000"/>
              <w:right w:val="single" w:sz="4" w:space="0" w:color="000000"/>
            </w:tcBorders>
          </w:tcPr>
          <w:p>
            <w:r/>
          </w:p>
        </w:tc>
        <w:tc>
          <w:tcPr>
            <w:tcW w:type="dxa" w:w="2020"/>
            <w:tcBorders>
              <w:top w:val="single" w:sz="4" w:space="0" w:color="000000"/>
              <w:left w:val="single" w:sz="4" w:space="0" w:color="000000"/>
              <w:bottom w:val="single" w:sz="4" w:space="0" w:color="000000"/>
              <w:right w:val="single" w:sz="4" w:space="0" w:color="000000"/>
            </w:tcBorders>
          </w:tcPr>
          <w:p>
            <w:r/>
          </w:p>
        </w:tc>
      </w:tr>
    </w:tbl>
    <w:p/>
    <w:p>
      <w:r>
        <w:rPr>
          <w:rFonts w:ascii="Times New Roman" w:hAnsi="Times New Roman"/>
          <w:b/>
          <w:sz w:val="22"/>
        </w:rPr>
        <w:t>Trục 3, 6:</w:t>
      </w:r>
      <w:r>
        <w:rPr>
          <w:rFonts w:ascii="Times New Roman" w:hAnsi="Times New Roman"/>
          <w:b w:val="0"/>
          <w:sz w:val="22"/>
        </w:rPr>
        <w:t xml:space="preserve"> Đối chiếu Điều 3 (QĐ 673/QĐ-CĐKT), Khoa Sư phạm </w:t>
      </w:r>
      <w:r>
        <w:rPr>
          <w:rFonts w:ascii="Times New Roman" w:hAnsi="Times New Roman"/>
          <w:b/>
          <w:sz w:val="22"/>
        </w:rPr>
        <w:t>không có nhiệm vụ trực tiếp theo chức năng được giao</w:t>
      </w:r>
      <w:r>
        <w:rPr>
          <w:rFonts w:ascii="Times New Roman" w:hAnsi="Times New Roman"/>
          <w:b w:val="0"/>
          <w:sz w:val="22"/>
        </w:rPr>
        <w:t xml:space="preserve"> thuộc hai trục này, do đó không phân bổ điểm.</w:t>
      </w:r>
    </w:p>
    <w:p>
      <w:pPr>
        <w:pStyle w:val="Heading2"/>
      </w:pPr>
      <w:r>
        <w:rPr>
          <w:rFonts w:ascii="Times New Roman" w:hAnsi="Times New Roman"/>
          <w:b/>
          <w:sz w:val="28"/>
        </w:rPr>
        <w:t>PHẦN 4. MA TRẬN LIÊN THÔNG VỚI KHUNG TIÊU CHÍ CẤP TRƯỜNG</w:t>
      </w:r>
    </w:p>
    <w:tbl>
      <w:tblPr>
        <w:tblW w:type="auto" w:w="0"/>
        <w:tblLayout w:type="fixed"/>
        <w:tblLook w:firstColumn="1" w:firstRow="1" w:lastColumn="0" w:lastRow="0" w:noHBand="0" w:noVBand="1" w:val="04A0"/>
      </w:tblPr>
      <w:tblGrid>
        <w:gridCol w:w="2828"/>
        <w:gridCol w:w="2828"/>
        <w:gridCol w:w="2828"/>
        <w:gridCol w:w="2828"/>
        <w:gridCol w:w="2828"/>
      </w:tblGrid>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KPI Khoa</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Tiêu chí cấp Trường liên quan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Vai trò của Khoa</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Kết quả cấp Trường được đóng góp</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1.3 – Thực hiện kế hoạch đào tạo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Trực tiếp tổ chức giảng dạy</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Chất lượng, tiến độ, tỷ lệ tốt nghiệp đúng hạn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1.3 – Đào tạo; 1.8 – Liên kết đào tạo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 chức, quản lý lớp liên kết đại học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Mở rộng liên kết đào tạo trình độ đại học</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1.3, 1.4, 1.5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1.3 – Đào tạo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Bồi dưỡng, chuẩn hóa giáo viên, CBQL, nhà giáo dạy nghề toàn tỉnh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Nâng cao chất lượng đội ngũ giáo viên, CBQL giáo dục của tỉnh</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1.6, 1.7</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1.7 – Hợp tác doanh nghiệp (chứng chỉ tiếng Việt, tiếng DTTS)</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 chức đào tạo, bồi dưỡng tiếng DTTS, tiếng Việt cho người nước ngoài</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học viên được cấp chứng chỉ bồi dưỡng tiếng Việt, tiếng DTTS theo mục tiêu Trường</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1.8, 1.9</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1.6 – Nghiên cứu khoa học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 chức tập huấn, NCKH, dịch vụ KHCN giáo dục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đề tài, sản phẩm nghiên cứu, dịch vụ KHCN của Trường</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1.5 – Bảo đảm chất lượng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Bảo đảm điều kiện đội ngũ, CSVC phục vụ đào tạo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Mục tiêu chất lượng các cấp được hoàn thành</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1.9 – Nhiệm vụ do cấp trên giao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Thực hiện nhiệm vụ đột xuất</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Bảo đảm hoàn thành nhiệm vụ được Hiệu trưởng giao đúng tiến độ</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2.2 – Quản trị tổ chức và điều hành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Xây dựng, triển khai kế hoạch công tác nội bộ</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công tác các đơn vị được ban hành đúng tiến độ</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4.1 – Công tác chính trị, tư tưởng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 chức thực hiện tại đơn vị</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giáo dục chính trị tư tưởng của Trường được triển khai đồng bộ</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4.2, 4.3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4.3 – Tổ chức bộ máy và quản lý viên chức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phát triển, đánh giá đội ngũ tại Khoa</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Đội ngũ nhà giáo, viên chức của Trường được bố trí hợp lý, đánh giá đúng quy định</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5.2 – Quản lý người học, chế độ chính sách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trực tiếp người học thuộc Khoa</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Người học được quản lý tốt trong toàn Trường</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5.4 – Tài sản và cơ sở vật chất</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Sử dụng, bảo quản CSVC được giao trực tiếp</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Tài sản, cơ sở vật chất của Trường được khai thác hiệu quả</w:t>
            </w:r>
          </w:p>
        </w:tc>
      </w:tr>
    </w:tbl>
    <w:p/>
    <w:p>
      <w:pPr>
        <w:pStyle w:val="Heading2"/>
      </w:pPr>
      <w:r>
        <w:rPr>
          <w:rFonts w:ascii="Times New Roman" w:hAnsi="Times New Roman"/>
          <w:b/>
          <w:sz w:val="28"/>
        </w:rPr>
        <w:t>PHẦN 5. MA TRẬN LIÊN THÔNG VỚI TẬP THỂ VÀ CÁ NHÂN LÃNH ĐẠO</w:t>
      </w:r>
    </w:p>
    <w:p>
      <w:r>
        <w:rPr>
          <w:rFonts w:ascii="Times New Roman" w:hAnsi="Times New Roman"/>
          <w:b/>
          <w:sz w:val="22"/>
        </w:rPr>
        <w:t>Căn cứ Quyết định số 1305/QĐ-CĐKT ngày 27/5/2026:</w:t>
      </w:r>
      <w:r>
        <w:rPr>
          <w:rFonts w:ascii="Times New Roman" w:hAnsi="Times New Roman"/>
          <w:b w:val="0"/>
          <w:sz w:val="22"/>
        </w:rPr>
        <w:t xml:space="preserve"> Khoa Sư phạm do </w:t>
      </w:r>
      <w:r>
        <w:rPr>
          <w:rFonts w:ascii="Times New Roman" w:hAnsi="Times New Roman"/>
          <w:b/>
          <w:sz w:val="22"/>
        </w:rPr>
        <w:t>Phó Hiệu trưởng Dương Văn Anh Dũng</w:t>
      </w:r>
      <w:r>
        <w:rPr>
          <w:rFonts w:ascii="Times New Roman" w:hAnsi="Times New Roman"/>
          <w:b w:val="0"/>
          <w:sz w:val="22"/>
        </w:rPr>
        <w:t xml:space="preserve"> "chỉ đạo toàn diện công tác" và "theo dõi, chỉ đạo" trực tiếp; ông Dũng đồng thời "phụ trách chung về công tác đào tạo và bảo đảm chất lượng" của toàn Trường — bao trùm gần như toàn bộ nhiệm vụ của Khoa.</w:t>
      </w:r>
    </w:p>
    <w:tbl>
      <w:tblPr>
        <w:tblW w:type="auto" w:w="0"/>
        <w:tblLayout w:type="fixed"/>
        <w:tblLook w:firstColumn="1" w:firstRow="1" w:lastColumn="0" w:lastRow="0" w:noHBand="0" w:noVBand="1" w:val="04A0"/>
      </w:tblPr>
      <w:tblGrid>
        <w:gridCol w:w="2828"/>
        <w:gridCol w:w="2828"/>
        <w:gridCol w:w="2828"/>
        <w:gridCol w:w="2828"/>
        <w:gridCol w:w="2828"/>
      </w:tblGrid>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KPI Khoa</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Tập thể lãnh đạo Trường (tiêu chí liên quan)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Cá nhân lãnh đạo phụ trách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Vai trò của lãnh đạo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Vai trò của Khoa</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 đến 1.7, 1.10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1.3, 1.5, 1.8 (Trục 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Dương Văn Anh Dũng</w:t>
            </w:r>
            <w:r>
              <w:rPr>
                <w:rFonts w:ascii="Times New Roman" w:hAnsi="Times New Roman"/>
                <w:b w:val="0"/>
                <w:sz w:val="19"/>
              </w:rPr>
              <w:t xml:space="preserve"> (chỉ đạo toàn diện công tác Khoa; phụ trách chung đào tạo, bảo đảm chất lượng)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tổ chức đào tạo, liên kết, bồi dưỡng, bảo đảm chất lượng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Trực tiếp tổ chức giảng dạy, bồi dưỡng, liên kết đào tạo</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1.8, 1.9</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1.6 (Trục 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Dương Văn Anh Dũng</w:t>
            </w:r>
            <w:r>
              <w:rPr>
                <w:rFonts w:ascii="Times New Roman" w:hAnsi="Times New Roman"/>
                <w:b w:val="0"/>
                <w:sz w:val="19"/>
              </w:rPr>
              <w:t xml:space="preserve"> (theo dõi, chỉ đạo Khoa); phối hợp </w:t>
            </w:r>
            <w:r>
              <w:rPr>
                <w:rFonts w:ascii="Times New Roman" w:hAnsi="Times New Roman"/>
                <w:b/>
                <w:sz w:val="19"/>
              </w:rPr>
              <w:t>PHT Huỳnh Văn Chung</w:t>
            </w:r>
            <w:r>
              <w:rPr>
                <w:rFonts w:ascii="Times New Roman" w:hAnsi="Times New Roman"/>
                <w:b w:val="0"/>
                <w:sz w:val="19"/>
              </w:rPr>
              <w:t xml:space="preserve"> (Trưởng Tiểu ban phát triển KHCN, ĐMST, CĐS) đối với quy trình quản lý NCKH chung của Trường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triển khai tập huấn, NCKH, dịch vụ KHCN giáo dục tại Khoa; PHT Chung chỉ đạo quy trình quản lý KHCN chung (thẩm định, nghiệm thu do Phòng QLKHCN&amp;HTPT thực hiện)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 chức, triển khai tập huấn, NCKH, dịch vụ KHCN giáo dục</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1.9 (Trục 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Dương Văn Anh Dũng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Giao và giám sát nhiệm vụ đột xuất</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 chức thực hiện nhiệm vụ được giao</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2.2 (Trục 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Dương Văn Anh Dũng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xây dựng kế hoạch công tác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Xây dựng, triển khai kế hoạch làm việc của Khoa</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4.1, 4.2, 4.3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4.1, 4.3 (Trục 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Dương Văn Anh Dũng</w:t>
            </w:r>
            <w:r>
              <w:rPr>
                <w:rFonts w:ascii="Times New Roman" w:hAnsi="Times New Roman"/>
                <w:b w:val="0"/>
                <w:sz w:val="19"/>
              </w:rPr>
              <w:t xml:space="preserve"> (chỉ đạo toàn diện công tác Khoa); phối hợp </w:t>
            </w:r>
            <w:r>
              <w:rPr>
                <w:rFonts w:ascii="Times New Roman" w:hAnsi="Times New Roman"/>
                <w:b/>
                <w:sz w:val="19"/>
              </w:rPr>
              <w:t>Phòng TCCB&amp;CTHSSV</w:t>
            </w:r>
            <w:r>
              <w:rPr>
                <w:rFonts w:ascii="Times New Roman" w:hAnsi="Times New Roman"/>
                <w:b w:val="0"/>
                <w:sz w:val="19"/>
              </w:rPr>
              <w:t xml:space="preserve"> về nghiệp vụ tổ chức cán bộ</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công tác chính trị tư tưởng, phát triển đội ngũ tại Khoa</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trực tiếp nhà giáo, viên chức; tổ chức đánh giá cán bộ tại Khoa theo phân cấp</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5.2 (Trục 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Dương Văn Anh Dũng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quản lý người học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trực tiếp người học thuộc Khoa</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5.4 (Trục 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Dương Văn Anh Dũng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sử dụng, bảo quản CSVC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Trực tiếp quản lý, sử dụng, đề xuất bảo trì CSVC được giao</w:t>
            </w:r>
          </w:p>
        </w:tc>
      </w:tr>
    </w:tbl>
    <w:p/>
    <w:p>
      <w:r>
        <w:rPr>
          <w:rFonts w:ascii="Times New Roman" w:hAnsi="Times New Roman"/>
          <w:b/>
          <w:sz w:val="22"/>
        </w:rPr>
        <w:t>Ghi chú:</w:t>
      </w:r>
      <w:r>
        <w:rPr>
          <w:rFonts w:ascii="Times New Roman" w:hAnsi="Times New Roman"/>
          <w:b w:val="0"/>
          <w:sz w:val="22"/>
        </w:rPr>
        <w:t xml:space="preserve"> Tương tự Khoa các Khoa học cơ bản, đối với công tác tổ chức cán bộ (mã 4.2, 4.3), Khoa quản lý trực tiếp viên chức thuộc Khoa theo phân cấp, nhưng nghiệp vụ tổ chức bộ máy, biên chế vẫn cần phối hợp với Phòng TCCB&amp;CTHSSV theo đúng quy định tại Điều 7.4 của Quy định chức năng Khoa.</w:t>
      </w:r>
    </w:p>
    <w:p>
      <w:pPr>
        <w:pStyle w:val="Heading2"/>
      </w:pPr>
      <w:r>
        <w:rPr>
          <w:rFonts w:ascii="Times New Roman" w:hAnsi="Times New Roman"/>
          <w:b/>
          <w:sz w:val="28"/>
        </w:rPr>
        <w:t>PHẦN 6. BẢNG KIỂM TRA THIẾU – THỪA – TRÙNG</w:t>
      </w:r>
    </w:p>
    <w:p>
      <w:r>
        <w:rPr>
          <w:rFonts w:ascii="Times New Roman" w:hAnsi="Times New Roman"/>
          <w:b/>
          <w:sz w:val="22"/>
        </w:rPr>
        <w:t>A. Nhiệm vụ chức năng chưa được phản ánh thành KPI:</w:t>
      </w:r>
      <w:r>
        <w:rPr>
          <w:rFonts w:ascii="Times New Roman" w:hAnsi="Times New Roman"/>
          <w:b w:val="0"/>
          <w:sz w:val="22"/>
        </w:rPr>
        <w:t xml:space="preserve"> Không còn. Nội dung "nhiệm vụ khác do Hiệu trưởng phân công" nay đã được lượng hóa thành tiêu chí 1.11.</w:t>
      </w:r>
    </w:p>
    <w:p>
      <w:r>
        <w:rPr>
          <w:rFonts w:ascii="Times New Roman" w:hAnsi="Times New Roman"/>
          <w:b/>
          <w:sz w:val="22"/>
        </w:rPr>
        <w:t>B. KPI chưa có căn cứ chức năng:</w:t>
      </w:r>
      <w:r>
        <w:rPr>
          <w:rFonts w:ascii="Times New Roman" w:hAnsi="Times New Roman"/>
          <w:b w:val="0"/>
          <w:sz w:val="22"/>
        </w:rPr>
        <w:t xml:space="preserve"> Không có. Toàn bộ 17 mã tiêu chí tại Phần 3 đều bắt nguồn trực tiếp từ nhiệm vụ, quyền hạn quy định tại Điều 3, QĐ 673/QĐ-CĐKT.</w:t>
      </w:r>
    </w:p>
    <w:p>
      <w:r>
        <w:rPr>
          <w:rFonts w:ascii="Times New Roman" w:hAnsi="Times New Roman"/>
          <w:b/>
          <w:sz w:val="22"/>
        </w:rPr>
        <w:t>C. KPI trùng lặp và phương án xử lý</w:t>
      </w:r>
    </w:p>
    <w:tbl>
      <w:tblPr>
        <w:tblW w:type="auto" w:w="0"/>
        <w:tblLayout w:type="fixed"/>
        <w:tblLook w:firstColumn="1" w:firstRow="1" w:lastColumn="0" w:lastRow="0" w:noHBand="0" w:noVBand="1" w:val="04A0"/>
      </w:tblPr>
      <w:tblGrid>
        <w:gridCol w:w="4713"/>
        <w:gridCol w:w="4713"/>
        <w:gridCol w:w="4713"/>
      </w:tblGrid>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Vùng có khả năng trùng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Phân tích</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Phương án xử lý</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Chương trình đào tạo, liên kết đào tạo: Khoa (mã 1.1, 1.2) và Phòng QLĐT&amp;BĐCL (quản lý, phê duyệt, theo dõi cấp Trường, đã xây dựng trước đó)</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xác nhận:</w:t>
            </w:r>
            <w:r>
              <w:rPr>
                <w:rFonts w:ascii="Times New Roman" w:hAnsi="Times New Roman"/>
                <w:b w:val="0"/>
                <w:sz w:val="19"/>
              </w:rPr>
              <w:t xml:space="preserve"> Khoa </w:t>
            </w:r>
            <w:r>
              <w:rPr>
                <w:rFonts w:ascii="Times New Roman" w:hAnsi="Times New Roman"/>
                <w:i/>
                <w:sz w:val="19"/>
              </w:rPr>
              <w:t>tổ chức giảng dạy trực tiếp</w:t>
            </w:r>
            <w:r>
              <w:rPr>
                <w:rFonts w:ascii="Times New Roman" w:hAnsi="Times New Roman"/>
                <w:b w:val="0"/>
                <w:sz w:val="19"/>
              </w:rPr>
              <w:t xml:space="preserve">; Phòng QLĐT&amp;BĐCL </w:t>
            </w:r>
            <w:r>
              <w:rPr>
                <w:rFonts w:ascii="Times New Roman" w:hAnsi="Times New Roman"/>
                <w:i/>
                <w:sz w:val="19"/>
              </w:rPr>
              <w:t>quản lý, phê duyệt, theo dõi</w:t>
            </w:r>
            <w:r>
              <w:rPr>
                <w:rFonts w:ascii="Times New Roman" w:hAnsi="Times New Roman"/>
                <w:b w:val="0"/>
                <w:sz w:val="19"/>
              </w:rPr>
              <w:t xml:space="preserve"> ở cấp Trường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trùng do khác cấp độ và vai trò</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Nghiên cứu khoa học: Khoa (mã 1.8) và Phòng QLKHCN&amp;HTPT (quản trị quy trình NCKH toàn Trường, đã xây dựng trước đó)</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xml:space="preserve">Khoa là đơn vị </w:t>
            </w:r>
            <w:r>
              <w:rPr>
                <w:rFonts w:ascii="Times New Roman" w:hAnsi="Times New Roman"/>
                <w:i/>
                <w:sz w:val="19"/>
              </w:rPr>
              <w:t>đề xuất, thực hiện</w:t>
            </w:r>
            <w:r>
              <w:rPr>
                <w:rFonts w:ascii="Times New Roman" w:hAnsi="Times New Roman"/>
                <w:b w:val="0"/>
                <w:sz w:val="19"/>
              </w:rPr>
              <w:t xml:space="preserve"> đề tài, dịch vụ KHCN giáo dục; Phòng QLKHCN&amp;HTPT </w:t>
            </w:r>
            <w:r>
              <w:rPr>
                <w:rFonts w:ascii="Times New Roman" w:hAnsi="Times New Roman"/>
                <w:i/>
                <w:sz w:val="19"/>
              </w:rPr>
              <w:t>quản lý quy trình</w:t>
            </w:r>
            <w:r>
              <w:rPr>
                <w:rFonts w:ascii="Times New Roman" w:hAnsi="Times New Roman"/>
                <w:b w:val="0"/>
                <w:sz w:val="19"/>
              </w:rPr>
              <w:t xml:space="preserve"> (thẩm định, xét duyệt, nghiệm thu)</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trùng do khác vai trò</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Bồi dưỡng giáo viên, tiếng DTTS, tiếng Việt cho người nước ngoài (mã 1.3, 1.4, 1.5, 1.6, 1.7): có thể liên quan hoạt động hợp tác đào tạo của Phòng QLĐT&amp;BĐCL hoặc Phòng QLKHCN&amp;HTPT</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Đây là hoạt động chuyên môn cốt lõi của Khoa Sư phạm (đào tạo giáo viên, ngôn ngữ), không thuộc chức năng hợp tác/tuyển sinh của hai Phòng trên</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trùng; Khoa là đơn vị tổ chức thực hiện trực tiếp</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viên chức: Khoa (mã 4.3) và Phòng TCCB&amp;CTHSSV (quản lý hồ sơ, chính sách chung toàn Trường)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xml:space="preserve">Khoa quản lý </w:t>
            </w:r>
            <w:r>
              <w:rPr>
                <w:rFonts w:ascii="Times New Roman" w:hAnsi="Times New Roman"/>
                <w:i/>
                <w:sz w:val="19"/>
              </w:rPr>
              <w:t>trực tiếp, hằng ngày</w:t>
            </w:r>
            <w:r>
              <w:rPr>
                <w:rFonts w:ascii="Times New Roman" w:hAnsi="Times New Roman"/>
                <w:b w:val="0"/>
                <w:sz w:val="19"/>
              </w:rPr>
              <w:t xml:space="preserve">; Phòng TCCB&amp;CTHSSV quản lý </w:t>
            </w:r>
            <w:r>
              <w:rPr>
                <w:rFonts w:ascii="Times New Roman" w:hAnsi="Times New Roman"/>
                <w:i/>
                <w:sz w:val="19"/>
              </w:rPr>
              <w:t>hồ sơ, chế độ chính sách, tuyển dụng, bổ nhiệm</w:t>
            </w:r>
            <w:r>
              <w:rPr>
                <w:rFonts w:ascii="Times New Roman" w:hAnsi="Times New Roman"/>
                <w:b w:val="0"/>
                <w:sz w:val="19"/>
              </w:rPr>
              <w:t xml:space="preserve"> ở cấp Trường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trùng do phân cấp quản lý</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Cơ sở vật chất: Khoa (mã 5.2) và Phòng TH-HC&amp;QT (đầu mối quản lý CSVC chung toàn Trường, đã xây dựng trước đó)</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xml:space="preserve">Khoa là </w:t>
            </w:r>
            <w:r>
              <w:rPr>
                <w:rFonts w:ascii="Times New Roman" w:hAnsi="Times New Roman"/>
                <w:i/>
                <w:sz w:val="19"/>
              </w:rPr>
              <w:t>đơn vị sử dụng trực tiếp</w:t>
            </w:r>
            <w:r>
              <w:rPr>
                <w:rFonts w:ascii="Times New Roman" w:hAnsi="Times New Roman"/>
                <w:b w:val="0"/>
                <w:sz w:val="19"/>
              </w:rPr>
              <w:t xml:space="preserve">; Phòng TH-HC&amp;QT là </w:t>
            </w:r>
            <w:r>
              <w:rPr>
                <w:rFonts w:ascii="Times New Roman" w:hAnsi="Times New Roman"/>
                <w:i/>
                <w:sz w:val="19"/>
              </w:rPr>
              <w:t>đầu mối tổng hợp, thực hiện</w:t>
            </w:r>
            <w:r>
              <w:rPr>
                <w:rFonts w:ascii="Times New Roman" w:hAnsi="Times New Roman"/>
                <w:b w:val="0"/>
                <w:sz w:val="19"/>
              </w:rPr>
              <w:t xml:space="preserve"> mua sắm, sửa chữa</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trùng do phân biệt vai trò</w:t>
            </w:r>
          </w:p>
        </w:tc>
      </w:tr>
    </w:tbl>
    <w:p/>
    <w:p>
      <w:r>
        <w:rPr>
          <w:rFonts w:ascii="Times New Roman" w:hAnsi="Times New Roman"/>
          <w:b/>
          <w:sz w:val="22"/>
        </w:rPr>
        <w:t>D. KPI chưa đo được:</w:t>
      </w:r>
      <w:r>
        <w:rPr>
          <w:rFonts w:ascii="Times New Roman" w:hAnsi="Times New Roman"/>
          <w:b w:val="0"/>
          <w:sz w:val="22"/>
        </w:rPr>
        <w:t xml:space="preserve"> Không có (xem kiểm tra SMART bên dưới).</w:t>
      </w:r>
    </w:p>
    <w:p>
      <w:r>
        <w:rPr>
          <w:rFonts w:ascii="Times New Roman" w:hAnsi="Times New Roman"/>
          <w:b/>
          <w:sz w:val="22"/>
        </w:rPr>
        <w:t>E. Sản phẩm chưa có minh chứng rõ ràng:</w:t>
      </w:r>
      <w:r>
        <w:rPr>
          <w:rFonts w:ascii="Times New Roman" w:hAnsi="Times New Roman"/>
          <w:b w:val="0"/>
          <w:sz w:val="22"/>
        </w:rPr>
        <w:t xml:space="preserve"> Không có.</w:t>
      </w:r>
    </w:p>
    <w:p>
      <w:pPr>
        <w:pStyle w:val="Heading2"/>
      </w:pPr>
      <w:r>
        <w:rPr>
          <w:rFonts w:ascii="Times New Roman" w:hAnsi="Times New Roman"/>
          <w:b/>
          <w:sz w:val="28"/>
        </w:rPr>
        <w:t>KIỂM TRA TÍNH ĐẦY ĐỦ (đối chiếu với Điều 3)</w:t>
      </w:r>
    </w:p>
    <w:tbl>
      <w:tblPr>
        <w:tblW w:type="auto" w:w="0"/>
        <w:tblLayout w:type="fixed"/>
        <w:tblLook w:firstColumn="1" w:firstRow="1" w:lastColumn="0" w:lastRow="0" w:noHBand="0" w:noVBand="1" w:val="04A0"/>
      </w:tblPr>
      <w:tblGrid>
        <w:gridCol w:w="2828"/>
        <w:gridCol w:w="2828"/>
        <w:gridCol w:w="2828"/>
        <w:gridCol w:w="2828"/>
        <w:gridCol w:w="2828"/>
      </w:tblGrid>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Nhóm chức năng/nhiệm vụ của Khoa</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đưa vào tiêu chí?</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Mã tiêu chí</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Điểm</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Ghi chú</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Đào tạo chính quy, liên kết đại học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1.1, 1.2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Bồi dưỡng, chuẩn hóa giáo viên, CBQL, nhà giáo dạy nghề</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1.3, 1.4, 1.5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theo yêu cầu phân công cá nhân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Tiếng DTTS, tiếng Việt cho người nước ngoài</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1.6, 1.7</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theo yêu cầu phân công cá nhân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Tập huấn, NCKH, dịch vụ KHCN giáo dục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1.8, 1.9</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theo yêu cầu phân công cá nhân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 Phát triển đội ngũ, bảo đảm chất lượng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1.10, 4.2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 Chính trị tư tưởng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 Quản lý nhà giáo, viên chức, người học; đánh giá cán bộ</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4.3, 5.1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7</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 Kế hoạch làm việc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 Quản lý CSVC, trang thiết bị</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 Nhiệm vụ khác do Hiệu trưởng phân công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Đã xác nhận đưa vào khung tiêu chí</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Tổng</w:t>
            </w:r>
          </w:p>
        </w:tc>
        <w:tc>
          <w:tcPr>
            <w:tcW w:type="dxa" w:w="2828"/>
            <w:tcBorders>
              <w:top w:val="single" w:sz="4" w:space="0" w:color="000000"/>
              <w:left w:val="single" w:sz="4" w:space="0" w:color="000000"/>
              <w:bottom w:val="single" w:sz="4" w:space="0" w:color="000000"/>
              <w:right w:val="single" w:sz="4" w:space="0" w:color="000000"/>
            </w:tcBorders>
          </w:tcPr>
          <w:p>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17 mã</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70</w:t>
            </w:r>
          </w:p>
        </w:tc>
        <w:tc>
          <w:tcPr>
            <w:tcW w:type="dxa" w:w="2828"/>
            <w:tcBorders>
              <w:top w:val="single" w:sz="4" w:space="0" w:color="000000"/>
              <w:left w:val="single" w:sz="4" w:space="0" w:color="000000"/>
              <w:bottom w:val="single" w:sz="4" w:space="0" w:color="000000"/>
              <w:right w:val="single" w:sz="4" w:space="0" w:color="000000"/>
            </w:tcBorders>
          </w:tcPr>
          <w:p>
            <w:r/>
          </w:p>
        </w:tc>
      </w:tr>
    </w:tbl>
    <w:p/>
    <w:p>
      <w:pPr>
        <w:pStyle w:val="Heading2"/>
      </w:pPr>
      <w:r>
        <w:rPr>
          <w:rFonts w:ascii="Times New Roman" w:hAnsi="Times New Roman"/>
          <w:b/>
          <w:sz w:val="28"/>
        </w:rPr>
        <w:t>KIỂM TRA TÍNH SMART CỦA KPI (minh họa một số KPI tiêu biểu)</w:t>
      </w:r>
    </w:p>
    <w:tbl>
      <w:tblPr>
        <w:tblW w:type="auto" w:w="0"/>
        <w:tblLayout w:type="fixed"/>
        <w:tblLook w:firstColumn="1" w:firstRow="1" w:lastColumn="0" w:lastRow="0" w:noHBand="0" w:noVBand="1" w:val="04A0"/>
      </w:tblPr>
      <w:tblGrid>
        <w:gridCol w:w="2020"/>
        <w:gridCol w:w="2020"/>
        <w:gridCol w:w="2020"/>
        <w:gridCol w:w="2020"/>
        <w:gridCol w:w="2020"/>
        <w:gridCol w:w="2020"/>
        <w:gridCol w:w="2020"/>
      </w:tblGrid>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KPI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Cụ thể</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Đo được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Khả thi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Liên quan chức năng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Có thời hạn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Đạt SMART?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người học tốt nghiệp đúng hạn ngành GDMN (1.1)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khóa học)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lớp/khóa bồi dưỡng, chuẩn hóa giáo viên tổ chức đúng kế hoạch (1.3)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năm)</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lớp bồi dưỡng nghiệp vụ quản lý giáo dục được tổ chức đúng kế hoạch (1.4)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năm)</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lớp đào tạo/bồi dưỡng tiếng DTTS, tiếng Việt cho người nước ngoài (1.6, 1.7)</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năm)</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hoàn thành đúng tiến độ các nhiệm vụ khác do Hiệu trưởng phân công (1.11)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từng nhiệm vụ được giao)</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nhà giáo, viên chức được đào tạo, bồi dưỡng theo kế hoạch (4.2)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năm)</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CSVC, trang thiết bị được sử dụng, bảo quản đúng quy định (5.2)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học kỳ)</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bl>
    <w:p/>
    <w:p>
      <w:r>
        <w:rPr>
          <w:rFonts w:ascii="Times New Roman" w:hAnsi="Times New Roman"/>
          <w:i/>
          <w:sz w:val="22"/>
        </w:rPr>
        <w:t>Toàn bộ KPI tại Phần 3 đều được thiết kế dưới dạng tỷ lệ, số lượng hoặc kết quả có thể thu thập từ hồ sơ, sổ sách, báo cáo định kỳ của Khoa — không có KPI mang tính định tính chung chung.</w:t>
      </w:r>
    </w:p>
    <w:p>
      <w:pPr>
        <w:pStyle w:val="Heading2"/>
      </w:pPr>
      <w:r>
        <w:rPr>
          <w:rFonts w:ascii="Times New Roman" w:hAnsi="Times New Roman"/>
          <w:b/>
          <w:sz w:val="28"/>
        </w:rPr>
        <w:t>KIỂM TRA TÍNH CÂN ĐỐI GIỮA 06 TRỤC</w:t>
      </w:r>
    </w:p>
    <w:tbl>
      <w:tblPr>
        <w:tblW w:type="auto" w:w="0"/>
        <w:tblLayout w:type="fixed"/>
        <w:tblLook w:firstColumn="1" w:firstRow="1" w:lastColumn="0" w:lastRow="0" w:noHBand="0" w:noVBand="1" w:val="04A0"/>
      </w:tblPr>
      <w:tblGrid>
        <w:gridCol w:w="2828"/>
        <w:gridCol w:w="2828"/>
        <w:gridCol w:w="2828"/>
        <w:gridCol w:w="2828"/>
        <w:gridCol w:w="2828"/>
      </w:tblGrid>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Số tiêu chí</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Điểm</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Tỷ trọng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Nhóm kết quả chính</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 (1.1–1.11)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64,3%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Đào tạo chính quy; liên kết đào tạo; bồi dưỡng, chuẩn hóa giáo viên/CBQL/nhà giáo dạy nghề; tiếng DTTS/tiếng Việt cho người nước ngoài; tập huấn/NCKH; dịch vụ KHCN; bảo đảm chất lượng; nhiệm vụ khác</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(2.1)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7,1%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công tác nội bộ Khoa</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có nhiệm vụ trực tiếp theo chức năng được giao</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 (4.1–4.3)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17,1%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Chính trị tư tưởng; phát triển đội ngũ; quản lý viên chức, đánh giá cán bộ</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 (5.1–5.2)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người học; quản lý cơ sở vật chất, trang thiết bị</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có nhiệm vụ trực tiếp theo chức năng được giao</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Tổng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17</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70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100%</w:t>
            </w:r>
          </w:p>
        </w:tc>
        <w:tc>
          <w:tcPr>
            <w:tcW w:type="dxa" w:w="2828"/>
            <w:tcBorders>
              <w:top w:val="single" w:sz="4" w:space="0" w:color="000000"/>
              <w:left w:val="single" w:sz="4" w:space="0" w:color="000000"/>
              <w:bottom w:val="single" w:sz="4" w:space="0" w:color="000000"/>
              <w:right w:val="single" w:sz="4" w:space="0" w:color="000000"/>
            </w:tcBorders>
          </w:tcPr>
          <w:p>
            <w:r/>
          </w:p>
        </w:tc>
      </w:tr>
    </w:tbl>
    <w:p/>
    <w:p>
      <w:r>
        <w:rPr>
          <w:rFonts w:ascii="Times New Roman" w:hAnsi="Times New Roman"/>
          <w:i/>
          <w:sz w:val="22"/>
        </w:rPr>
        <w:t>Phân bổ điểm phản ánh đúng đặc thù của Khoa Sư phạm: Trục 1 chiếm tỷ trọng cao nhất trong số các đơn vị chuyên môn đã xây dựng (64,3%, cao hơn Khoa các Khoa học cơ bản với 50%), do phạm vi nhiệm vụ đào tạo, bồi dưỡng đặc biệt rộng (phục vụ cả ngành giáo dục toàn tỉnh, không chỉ riêng Trường); việc tách 15 mã cũ thành 17 mã giúp phân công rõ trách nhiệm cho từng cá nhân phụ trách mà không làm thay đổi tổng điểm của Khoa; không có Trục 3 do không có chức năng CNTT/học liệu; không tạo KPI giả tạo tại Trục 3, Trục 6.</w:t>
      </w:r>
    </w:p>
    <w:p>
      <w:pPr>
        <w:pStyle w:val="Heading2"/>
      </w:pPr>
      <w:r>
        <w:rPr>
          <w:rFonts w:ascii="Times New Roman" w:hAnsi="Times New Roman"/>
          <w:b/>
          <w:sz w:val="28"/>
        </w:rPr>
        <w:t>PHẦN 7. KIẾN NGHỊ HOÀN THIỆN</w:t>
      </w:r>
    </w:p>
    <w:p>
      <w:pPr>
        <w:ind w:left="340"/>
      </w:pPr>
      <w:r>
        <w:rPr>
          <w:rFonts w:ascii="Times New Roman" w:hAnsi="Times New Roman"/>
          <w:sz w:val="22"/>
        </w:rPr>
        <w:t xml:space="preserve">1. </w:t>
      </w:r>
      <w:r>
        <w:rPr>
          <w:rFonts w:ascii="Times New Roman" w:hAnsi="Times New Roman"/>
          <w:b/>
          <w:sz w:val="22"/>
        </w:rPr>
        <w:t>Xác nhận điểm số phân bổ:</w:t>
      </w:r>
      <w:r>
        <w:rPr>
          <w:rFonts w:ascii="Times New Roman" w:hAnsi="Times New Roman"/>
          <w:b w:val="0"/>
          <w:sz w:val="22"/>
        </w:rPr>
        <w:t xml:space="preserve"> Bảng phân bổ điểm là đề xuất dựa trên khối lượng, mức độ quan trọng và phạm vi phục vụ (toàn tỉnh) của nhiệm vụ; đề nghị lãnh đạo Trường và Khoa rà soát, điều chỉnh trọng số nếu cần, đối chiếu với Khoa các Khoa học cơ bản và các khoa chuyên môn khác để bảo đảm công bằng khi so sánh, xếp loại.</w:t>
      </w:r>
    </w:p>
    <w:p>
      <w:pPr>
        <w:ind w:left="340"/>
      </w:pPr>
      <w:r>
        <w:rPr>
          <w:rFonts w:ascii="Times New Roman" w:hAnsi="Times New Roman"/>
          <w:sz w:val="22"/>
        </w:rPr>
        <w:t xml:space="preserve">2. </w:t>
      </w:r>
      <w:r>
        <w:rPr>
          <w:rFonts w:ascii="Times New Roman" w:hAnsi="Times New Roman"/>
          <w:b/>
          <w:sz w:val="22"/>
        </w:rPr>
        <w:t>Phân công cá nhân theo từng tiêu chí đã tách:</w:t>
      </w:r>
      <w:r>
        <w:rPr>
          <w:rFonts w:ascii="Times New Roman" w:hAnsi="Times New Roman"/>
          <w:b w:val="0"/>
          <w:sz w:val="22"/>
        </w:rPr>
        <w:t xml:space="preserve"> Đề nghị Khoa căn cứ bảng tiêu chí chi tiết (17 mã, đặc biệt các nhóm đã tách: bồi dưỡng chuẩn hóa GV/CBQL/nhà giáo dạy nghề; tiếng DTTS/tiếng Việt; tập huấn PP dạy học/dịch vụ KHCN) để phân công rõ cá nhân phụ trách từng nội dung, thuận tiện cho việc giao chỉ số KPI cá nhân hằng quý/năm.</w:t>
      </w:r>
    </w:p>
    <w:p>
      <w:pPr>
        <w:ind w:left="340"/>
      </w:pPr>
      <w:r>
        <w:rPr>
          <w:rFonts w:ascii="Times New Roman" w:hAnsi="Times New Roman"/>
          <w:sz w:val="22"/>
        </w:rPr>
        <w:t xml:space="preserve">3. </w:t>
      </w:r>
      <w:r>
        <w:rPr>
          <w:rFonts w:ascii="Times New Roman" w:hAnsi="Times New Roman"/>
          <w:b/>
          <w:sz w:val="22"/>
        </w:rPr>
        <w:t>Bổ sung KPI khi có chỉ tiêu cụ thể về bồi dưỡng toàn tỉnh:</w:t>
      </w:r>
      <w:r>
        <w:rPr>
          <w:rFonts w:ascii="Times New Roman" w:hAnsi="Times New Roman"/>
          <w:b w:val="0"/>
          <w:sz w:val="22"/>
        </w:rPr>
        <w:t xml:space="preserve"> Khi có kế hoạch, chỉ tiêu cụ thể hằng năm về số lượng giáo viên/CBQL cần bồi dưỡng, chuẩn hóa do Sở Giáo dục và Đào tạo hoặc Ủy ban nhân dân tỉnh giao, nên bổ sung KPI định lượng theo tỷ lệ hoàn thành chỉ tiêu được giao vào các mã 1.3, 1.4.</w:t>
      </w:r>
    </w:p>
    <w:p>
      <w:pPr>
        <w:pStyle w:val="Heading2"/>
      </w:pPr>
      <w:r>
        <w:rPr>
          <w:rFonts w:ascii="Times New Roman" w:hAnsi="Times New Roman"/>
          <w:b/>
          <w:sz w:val="28"/>
        </w:rPr>
        <w:t>KẾT LUẬN ĐÁNH GIÁ CHUNG</w:t>
      </w:r>
    </w:p>
    <w:p>
      <w:pPr>
        <w:ind w:left="340"/>
      </w:pPr>
      <w:r>
        <w:rPr>
          <w:rFonts w:ascii="Times New Roman" w:hAnsi="Times New Roman"/>
          <w:sz w:val="22"/>
        </w:rPr>
        <w:t xml:space="preserve">1. </w:t>
      </w:r>
      <w:r>
        <w:rPr>
          <w:rFonts w:ascii="Times New Roman" w:hAnsi="Times New Roman"/>
          <w:b/>
          <w:sz w:val="22"/>
        </w:rPr>
        <w:t>Tính đầy đủ:</w:t>
      </w:r>
      <w:r>
        <w:rPr>
          <w:rFonts w:ascii="Times New Roman" w:hAnsi="Times New Roman"/>
          <w:b w:val="0"/>
          <w:sz w:val="22"/>
        </w:rPr>
        <w:t xml:space="preserve"> Toàn bộ 02 nhóm nhiệm vụ (15 nội dung cụ thể) theo Điều 3, QĐ 673/QĐ-CĐKT đã được rà soát và lượng hóa đầy đủ thành 17 mã tiêu chí, bao gồm cả "nhiệm vụ khác do Hiệu trưởng phân công" (mã 1.11) — không còn nội dung bỏ ngỏ.</w:t>
      </w:r>
    </w:p>
    <w:p>
      <w:pPr>
        <w:ind w:left="340"/>
      </w:pPr>
      <w:r>
        <w:rPr>
          <w:rFonts w:ascii="Times New Roman" w:hAnsi="Times New Roman"/>
          <w:sz w:val="22"/>
        </w:rPr>
        <w:t xml:space="preserve">2. </w:t>
      </w:r>
      <w:r>
        <w:rPr>
          <w:rFonts w:ascii="Times New Roman" w:hAnsi="Times New Roman"/>
          <w:b/>
          <w:sz w:val="22"/>
        </w:rPr>
        <w:t>Tính đúng:</w:t>
      </w:r>
      <w:r>
        <w:rPr>
          <w:rFonts w:ascii="Times New Roman" w:hAnsi="Times New Roman"/>
          <w:b w:val="0"/>
          <w:sz w:val="22"/>
        </w:rPr>
        <w:t xml:space="preserve"> Các nhiệm vụ được phân loại theo đúng nội hàm 06 trục quy định tại Thông báo 817/TB-CĐKT, trong đó vận dụng chính xác nội hàm 7 (Trục 1) cho các hoạt động đào tạo/bồi dưỡng tiếng dân tộc thiểu số và dạy tiếng Việt cho người nước ngoài. Các vùng giao thoa với Phòng QLĐT&amp;BĐCL, Phòng QLKHCN&amp;HTPT, Phòng TCCB&amp;CTHSSV và Phòng TH-HC&amp;QT đã được xác nhận, không trùng điểm.</w:t>
      </w:r>
    </w:p>
    <w:p>
      <w:pPr>
        <w:ind w:left="340"/>
      </w:pPr>
      <w:r>
        <w:rPr>
          <w:rFonts w:ascii="Times New Roman" w:hAnsi="Times New Roman"/>
          <w:sz w:val="22"/>
        </w:rPr>
        <w:t xml:space="preserve">3. </w:t>
      </w:r>
      <w:r>
        <w:rPr>
          <w:rFonts w:ascii="Times New Roman" w:hAnsi="Times New Roman"/>
          <w:b/>
          <w:sz w:val="22"/>
        </w:rPr>
        <w:t>Tính liên thông:</w:t>
      </w:r>
      <w:r>
        <w:rPr>
          <w:rFonts w:ascii="Times New Roman" w:hAnsi="Times New Roman"/>
          <w:b w:val="0"/>
          <w:sz w:val="22"/>
        </w:rPr>
        <w:t xml:space="preserve"> Khung tiêu chí của Khoa đã được liên thông đầy đủ theo chuỗi Trường → Tập thể lãnh đạo → cá nhân lãnh đạo phụ trách (Phần 4, 5), trong đó xác định rõ Phó Hiệu trưởng Dương Văn Anh Dũng là người chỉ đạo toàn diện đối với Khoa Sư phạm theo Quyết định số 1305/QĐ-CĐKT.</w:t>
      </w:r>
    </w:p>
    <w:p>
      <w:pPr>
        <w:ind w:left="340"/>
      </w:pPr>
      <w:r>
        <w:rPr>
          <w:rFonts w:ascii="Times New Roman" w:hAnsi="Times New Roman"/>
          <w:sz w:val="22"/>
        </w:rPr>
        <w:t xml:space="preserve">4. </w:t>
      </w:r>
      <w:r>
        <w:rPr>
          <w:rFonts w:ascii="Times New Roman" w:hAnsi="Times New Roman"/>
          <w:b/>
          <w:sz w:val="22"/>
        </w:rPr>
        <w:t>Tính đo lường:</w:t>
      </w:r>
      <w:r>
        <w:rPr>
          <w:rFonts w:ascii="Times New Roman" w:hAnsi="Times New Roman"/>
          <w:b w:val="0"/>
          <w:sz w:val="22"/>
        </w:rPr>
        <w:t xml:space="preserve"> Toàn bộ KPI được thiết kế dưới dạng tỷ lệ, số lượng, kết quả cụ thể, có thể thu thập từ hồ sơ, sổ sách, báo cáo định kỳ của Khoa, đạt yêu cầu SMART; việc tách các tiêu chí gộp trước đây (bồi dưỡng GV/CBQL/nhà giáo dạy nghề; tiếng DTTS/tiếng Việt; tập huấn PP dạy học/dịch vụ KHCN) giúp thuận tiện giao chỉ số cho từng cá nhân phụ trách.</w:t>
      </w:r>
    </w:p>
    <w:p>
      <w:pPr>
        <w:ind w:left="340"/>
      </w:pPr>
      <w:r>
        <w:rPr>
          <w:rFonts w:ascii="Times New Roman" w:hAnsi="Times New Roman"/>
          <w:sz w:val="22"/>
        </w:rPr>
        <w:t xml:space="preserve">5. </w:t>
      </w:r>
      <w:r>
        <w:rPr>
          <w:rFonts w:ascii="Times New Roman" w:hAnsi="Times New Roman"/>
          <w:b/>
          <w:sz w:val="22"/>
        </w:rPr>
        <w:t>Tính quản trị:</w:t>
      </w:r>
      <w:r>
        <w:rPr>
          <w:rFonts w:ascii="Times New Roman" w:hAnsi="Times New Roman"/>
          <w:b w:val="0"/>
          <w:sz w:val="22"/>
        </w:rPr>
        <w:t xml:space="preserve"> Khung tiêu chí được viết theo văn phong đánh giá kết quả (bảo đảm số lượng, chất lượng, tiến độ, hiệu quả; đúng quy trình, đúng kế hoạch) thay vì liệt kê nhiệm vụ, tập trung vào </w:t>
      </w:r>
      <w:r>
        <w:rPr>
          <w:rFonts w:ascii="Times New Roman" w:hAnsi="Times New Roman"/>
          <w:b/>
          <w:sz w:val="22"/>
        </w:rPr>
        <w:t>kết quả đầu ra</w:t>
      </w:r>
      <w:r>
        <w:rPr>
          <w:rFonts w:ascii="Times New Roman" w:hAnsi="Times New Roman"/>
          <w:b w:val="0"/>
          <w:sz w:val="22"/>
        </w:rPr>
        <w:t xml:space="preserve"> (tỷ lệ tốt nghiệp đúng hạn, số giáo viên/CBQL được bồi dưỡng chuẩn hóa, số học viên được cấp chứng chỉ tiếng DTTS/tiếng Việt...), giúp Hiệu trưởng và Phó Hiệu trưởng phụ trách đánh giá được giá trị/kết quả thực chất mà Khoa Sư phạm tạo ra cho công tác đào tạo, bồi dưỡng nguồn nhân lực giáo dục của tỉnh.</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