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i w:val="0"/>
          <w:sz w:val="26"/>
        </w:rPr>
        <w:t>TRƯỜNG CAO ĐẲNG KON TUM</w:t>
      </w:r>
    </w:p>
    <w:p>
      <w:pPr>
        <w:spacing w:after="80"/>
        <w:jc w:val="center"/>
      </w:pPr>
      <w:r>
        <w:rPr>
          <w:rFonts w:ascii="Times New Roman" w:hAnsi="Times New Roman"/>
          <w:b/>
          <w:i w:val="0"/>
          <w:color w:val="2E74B5"/>
          <w:sz w:val="26"/>
        </w:rPr>
        <w:t>HỆ KTC-RA-SOAT-897-V2-CAI-TIEN</w:t>
      </w:r>
      <w:r>
        <w:rPr>
          <w:rFonts w:ascii="Times New Roman" w:hAnsi="Times New Roman"/>
          <w:b/>
          <w:i w:val="0"/>
          <w:color w:val="2E74B5"/>
          <w:sz w:val="26"/>
        </w:rPr>
        <w:t xml:space="preserve">  |  Báo cáo rà soát chính thức</w:t>
      </w:r>
    </w:p>
    <w:p>
      <w:pPr>
        <w:spacing w:after="60"/>
        <w:jc w:val="center"/>
      </w:pPr>
      <w:r>
        <w:rPr>
          <w:rFonts w:ascii="Times New Roman" w:hAnsi="Times New Roman"/>
          <w:b/>
          <w:i w:val="0"/>
          <w:color w:val="0000FF"/>
          <w:sz w:val="30"/>
        </w:rPr>
        <w:t>BÁO CÁO RÀ SOÁT CHÍNH THỨC TRƯỚC KHI TRÌNH KÝ</w:t>
      </w:r>
    </w:p>
    <w:p>
      <w:pPr>
        <w:spacing w:after="60"/>
        <w:jc w:val="center"/>
      </w:pPr>
      <w:r>
        <w:rPr>
          <w:rFonts w:ascii="Times New Roman" w:hAnsi="Times New Roman"/>
          <w:b/>
          <w:i w:val="0"/>
          <w:sz w:val="28"/>
        </w:rPr>
        <w:t>Hồ sơ tiếp thu Báo cáo thẩm định lần 2, trình ban hành bộ công cụ KTC-Quan-tri: Báo cáo tiếp thu, giải trình (bản 1), Dự thảo Thông báo (bản 10), Tài liệu hướng dẫn (bản 10)</w:t>
      </w:r>
    </w:p>
    <w:p>
      <w:pPr>
        <w:jc w:val="center"/>
      </w:pPr>
      <w:r>
        <w:rPr>
          <w:rFonts w:ascii="Times New Roman" w:hAnsi="Times New Roman"/>
          <w:b w:val="0"/>
          <w:i w:val="0"/>
          <w:sz w:val="26"/>
        </w:rPr>
        <w:t xml:space="preserve">Ngày rà soát: </w:t>
      </w:r>
      <w:r>
        <w:rPr>
          <w:rFonts w:ascii="Times New Roman" w:hAnsi="Times New Roman"/>
          <w:b/>
          <w:i w:val="0"/>
          <w:sz w:val="26"/>
        </w:rPr>
        <w:t>12/10/2026</w:t>
      </w:r>
      <w:r>
        <w:rPr>
          <w:rFonts w:ascii="Times New Roman" w:hAnsi="Times New Roman"/>
          <w:b w:val="0"/>
          <w:i w:val="0"/>
          <w:sz w:val="26"/>
        </w:rPr>
        <w:t xml:space="preserve">  |  Đơn vị soạn thảo: </w:t>
      </w:r>
      <w:r>
        <w:rPr>
          <w:rFonts w:ascii="Times New Roman" w:hAnsi="Times New Roman"/>
          <w:b/>
          <w:i w:val="0"/>
          <w:sz w:val="26"/>
        </w:rPr>
        <w:t>Phòng TH-HC&amp;QT</w:t>
      </w:r>
      <w:r>
        <w:rPr>
          <w:rFonts w:ascii="Times New Roman" w:hAnsi="Times New Roman"/>
          <w:b w:val="0"/>
          <w:i w:val="0"/>
          <w:sz w:val="26"/>
        </w:rPr>
        <w:t xml:space="preserve">  |  Thẩm quyền: </w:t>
      </w:r>
      <w:r>
        <w:rPr>
          <w:rFonts w:ascii="Times New Roman" w:hAnsi="Times New Roman"/>
          <w:b/>
          <w:i w:val="0"/>
          <w:sz w:val="26"/>
        </w:rPr>
        <w:t>Hiệu trưởng (Thông báo); Phó Trưởng phòng TH-HC&amp;QT (Báo cáo)</w:t>
      </w:r>
    </w:p>
    <w:p>
      <w:pPr>
        <w:spacing w:before="200" w:after="80"/>
      </w:pPr>
      <w:r>
        <w:rPr>
          <w:rFonts w:ascii="Times New Roman" w:hAnsi="Times New Roman"/>
          <w:b/>
          <w:i w:val="0"/>
          <w:color w:val="7030A0"/>
          <w:sz w:val="28"/>
        </w:rPr>
        <w:t>PHẦN I. THÔNG TIN CHUNG</w:t>
      </w:r>
    </w:p>
    <w:tbl>
      <w:tblPr>
        <w:tblStyle w:val="TableGrid"/>
        <w:tblW w:type="auto" w:w="0"/>
        <w:jc w:val="center"/>
        <w:tblLayout w:type="fixed"/>
        <w:tblLook w:firstColumn="1" w:firstRow="1" w:lastColumn="0" w:lastRow="0" w:noHBand="0" w:noVBand="1" w:val="04A0"/>
      </w:tblPr>
      <w:tblGrid>
        <w:gridCol w:w="2778"/>
        <w:gridCol w:w="11680"/>
      </w:tblGrid>
      <w:tr>
        <w:trPr>
          <w:cantSplit w:val="0"/>
          <w:tblHeader w:val="1"/>
        </w:trPr>
        <w:tc>
          <w:tcPr>
            <w:tcW w:type="dxa" w:w="277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MỤC</w:t>
            </w:r>
          </w:p>
        </w:tc>
        <w:tc>
          <w:tcPr>
            <w:tcW w:type="dxa" w:w="11679"/>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NỘI DUNG</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Văn bản rà soát</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 Báo cáo tiếp thu, giải trình Báo cáo thẩm định lần 2 của phòng QLKHCN&amp;HTPT (bản 1, 6 trang); (2) Dự thảo Thông báo hướng dẫn sử dụng bộ công cụ KTC-Quan-tri (bản 10, 7 trang, 24 dấu vết Track Changes); (3) Tài liệu hướng dẫn sử dụng chi tiết (bản 10, 18 trang, 38 dấu vết)</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Hệ quy chiếu</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Hệ A (văn bản hành chính, Nghị định số 30/2020/NĐ-CP) cho từng văn bản; áp quy ước riêng của Trường (Checklist 08)</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Bộ quy tắc áp dụng</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KTC-Ra-Soat-897 phiên bản v2.25 (bản gốc trên Google Drive, Checklist 01 - 09), công cụ dựng báo cáo build_ktc897_report v3.6</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Phạm vi</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Toàn văn Báo cáo tiếp thu; phần sửa ngày 12/10/2026 của Thông báo, Tài liệu hướng dẫn và tính thống nhất giữa 3 văn bản. Bản 9 của Thông báo, Tài liệu hướng dẫn đã rà soát chính thức ngày 10/10/2026 (0 Mức 1)</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Đo thể thức</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Đã đo bằng công cụ trên tệp thật (kiem_the_thuc): Khổ A4, lề trên 20 - dưới 20 - trái 30 - phải 20 mm, Times New Roman 14; xem bản in thử PDF từng văn bản</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Viện dẫn, hiệu lực</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kiem_vien_dan (12 phép kiểm VD01 - VD12) trên 3 văn bản; văn bản mới được viện dẫn ở phần sửa là Quyết định số 2119/QĐ-CĐKT (kho 02, còn hiệu lực); tên phần mềm KPI của tỉnh đối chiếu bộ tài liệu hướng dẫn sử dụng VNPT-ĐGCB phiên bản 2.0 năm 2026; trang hỗ trợ “Manage plugins for your organization” của Anthropic (truy cập 12/10/2026)</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Kết quả</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 vấn đề Mức 1; 01 Mức 2 và 01 Mức 3 đã sửa bằng Track Changes ngay trong lần rà soát, 01 Mức 4 đã sửa; 01 Mức 4 đã xử lý theo ý kiến người soạn thảo; 02 Mức 4 để người soạn thảo xem xét</w:t>
            </w:r>
          </w:p>
        </w:tc>
      </w:tr>
    </w:tbl>
    <w:p>
      <w:pPr>
        <w:spacing w:after="40"/>
      </w:pPr>
    </w:p>
    <w:p>
      <w:pPr>
        <w:spacing w:before="200" w:after="80"/>
      </w:pPr>
      <w:r>
        <w:rPr>
          <w:rFonts w:ascii="Times New Roman" w:hAnsi="Times New Roman"/>
          <w:b/>
          <w:i w:val="0"/>
          <w:color w:val="7030A0"/>
          <w:sz w:val="28"/>
        </w:rPr>
        <w:t>PHẦN II. KẾT QUẢ RÀ SOÁT CHI TIẾT</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TT</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NỘI DUNG</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NHẬN XÉT</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KIẾN NGHỊ</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CĂN CỨ</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Thông báo Mục 2 Phần III; Tài liệu hướng dẫn Bước 5 Mục 2 Phần III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Bản 10 sửa bước cập nhật thành “tải đè cùng tên, không cần gỡ”, nhưng 02 chỗ này còn “chuyển phiên bản cũ sang chế độ Not available” — mâu thuẫn trong cùng văn bản và với trang hỗ trợ của nhà cung cấp</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Đã sửa: Kiểm tra chỉ còn một plugin KTC-Quan-tri; plugin, kỹ năng KTC cũ mang tên khác mới chuyển “Not available”</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02 (tính thống nhất); trang hỗ trợ Anthropic</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2</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Thông báo, điểm a Mục 1 Phần 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Phần sửa đưa Quyết định số 2119/QĐ-CĐKT lên trước, viện dẫn dạng ngắn, ghi ngày “28/9/2026” khác kiểu ghi ngày trong toàn văn bản</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Đã sửa: Viện dẫn đầy đủ lần đầu, ghi “ngày 28 tháng 9 năm 2026 của Hiệu trưởng Trường Cao đẳng Kon Tum”</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08 mục 5.4; Quy tắc viện dẫn</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3</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3</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Thông báo, điểm * Cá nhân Mục 1 Phần II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Sau khi sửa số 2, Quyết định số 2119/QĐ-CĐKT viện dẫn đầy đủ lần thứ hai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Đã sửa: Lần sau chỉ ghi tên loại, số, ký hiệu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kiem_vien_dan VD12</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4</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Báo cáo tiếp thu, các lần viện dẫn đầu</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Thông báo số 948, 924/TB-CĐKT; Quyết định số 2119/QĐ-CĐKT viện dẫn lần đầu chỉ có số, ngày, chưa có trích yếu; mục 2.5 liệt kê 11 văn bản chỉ có số</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Có thể giữ: Báo cáo nội bộ trình Hiệu trưởng, các văn bản đã viện dẫn đầy đủ tại dự thảo Thông báo kèm theo; cách ghi thống nhất với Báo cáo tiếp thu lần 6 đã gửi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Checklist 08 mục 5.4</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5</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Thông báo, Lưu ý cuối Mục 3 Phần I</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Câu “tải tệp plugin mới cùng tên lên để thay thế (hệ thống tự ghi đè)” áp dụng chung cho cả cài cấp tổ chức và tài khoản cá nhân; trang hỗ trợ đã đối chiếu chỉ nêu hành vi ở cấp tổ chức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Người soạn thảo xác nhận trên tài khoản cá nhân hoặc ghi “ở cấp tổ chức”</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Trang hỗ trợ Anthropic (truy cập 12/10/2026)</w:t>
            </w:r>
          </w:p>
        </w:tc>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Mức 4</w:t>
            </w:r>
          </w:p>
        </w:tc>
      </w:tr>
    </w:tbl>
    <w:p>
      <w:pPr>
        <w:spacing w:after="40"/>
      </w:pPr>
    </w:p>
    <w:p>
      <w:pPr>
        <w:spacing w:before="200" w:after="80"/>
      </w:pPr>
      <w:r>
        <w:rPr>
          <w:rFonts w:ascii="Times New Roman" w:hAnsi="Times New Roman"/>
          <w:b/>
          <w:i w:val="0"/>
          <w:color w:val="7030A0"/>
          <w:sz w:val="28"/>
        </w:rPr>
        <w:t>PHẦN III. NỘI DUNG ĐẠT / KHÔNG PHÁT HIỆN VẤN ĐỀ</w:t>
      </w:r>
    </w:p>
    <w:p>
      <w:pPr>
        <w:spacing w:after="60" w:line="276" w:lineRule="auto"/>
        <w:ind w:firstLine="567"/>
        <w:jc w:val="both"/>
      </w:pPr>
      <w:r>
        <w:rPr>
          <w:rFonts w:ascii="Times New Roman" w:hAnsi="Times New Roman"/>
          <w:b w:val="0"/>
          <w:i w:val="0"/>
          <w:sz w:val="28"/>
        </w:rPr>
        <w:t>- Thể thức: Cả 3 văn bản đạt các phép đo khổ giấy, lề, phông, cỡ chữ, khối tiêu đề, khối ký, nơi nhận (0 gợi ý); dòng “Lưu: VT, THHCQT” đúng; mục lục Tài liệu hướng dẫn khớp số trang bản in thử.</w:t>
      </w:r>
    </w:p>
    <w:p>
      <w:pPr>
        <w:spacing w:after="60" w:line="276" w:lineRule="auto"/>
        <w:ind w:firstLine="567"/>
        <w:jc w:val="both"/>
      </w:pPr>
      <w:r>
        <w:rPr>
          <w:rFonts w:ascii="Times New Roman" w:hAnsi="Times New Roman"/>
          <w:b w:val="0"/>
          <w:i w:val="0"/>
          <w:sz w:val="28"/>
        </w:rPr>
        <w:t>- Viện dẫn: 0 gợi ý theo 12 phép kiểm sau khi sửa; không viện dẫn Luật kèm số hiệu; không lấy biểu mẫu, bảng kiểm nội bộ làm căn cứ.</w:t>
      </w:r>
    </w:p>
    <w:p>
      <w:pPr>
        <w:spacing w:after="60" w:line="276" w:lineRule="auto"/>
        <w:ind w:firstLine="567"/>
        <w:jc w:val="both"/>
      </w:pPr>
      <w:r>
        <w:rPr>
          <w:rFonts w:ascii="Times New Roman" w:hAnsi="Times New Roman"/>
          <w:b w:val="0"/>
          <w:i w:val="0"/>
          <w:sz w:val="28"/>
        </w:rPr>
        <w:t>- Từ ngữ: Viết hoa sau dấu hai chấm (0 vị trí viết thường); tên đơn vị viết tắt đúng; tên phần mềm KPI của tỉnh ghi đúng theo tài liệu hướng dẫn sử dụng của hệ thống.</w:t>
      </w:r>
    </w:p>
    <w:p>
      <w:pPr>
        <w:spacing w:after="60" w:line="276" w:lineRule="auto"/>
        <w:ind w:firstLine="567"/>
        <w:jc w:val="both"/>
      </w:pPr>
      <w:r>
        <w:rPr>
          <w:rFonts w:ascii="Times New Roman" w:hAnsi="Times New Roman"/>
          <w:b w:val="0"/>
          <w:i w:val="0"/>
          <w:sz w:val="28"/>
        </w:rPr>
        <w:t>- Thống nhất giữa 3 văn bản: Task_ID chưa áp dụng, đối chiếu theo mã sản phẩm Quyết định số 2119/QĐ-CĐKT và tên nhiệm vụ (không còn câu lệnh “cấp Task_ID”); Skill “ktc-ra-soat-897” cài đặt, sử dụng riêng; thao tác chặn ghi là biện pháp hỗ trợ; tệp dưới 200 MB; kết quả kiểm thử là thử nghiệm sơ bộ; phiên bản 1.3.13 và chế độ “Available to install”.</w:t>
      </w:r>
    </w:p>
    <w:p>
      <w:pPr>
        <w:spacing w:after="60" w:line="276" w:lineRule="auto"/>
        <w:ind w:firstLine="567"/>
        <w:jc w:val="both"/>
      </w:pPr>
      <w:r>
        <w:rPr>
          <w:rFonts w:ascii="Times New Roman" w:hAnsi="Times New Roman"/>
          <w:b w:val="0"/>
          <w:i w:val="0"/>
          <w:sz w:val="28"/>
        </w:rPr>
        <w:t>- Báo cáo tiếp thu: Đủ 12 nội dung của Báo cáo thẩm định, mỗi nội dung có ý kiến và chỉ dẫn chỗ sửa; số liệu tổng hợp (07 tiếp thu, 02 tiếp thu một phần, 03 giải trình) khớp bảng Mục 1.</w:t>
      </w:r>
    </w:p>
    <w:p>
      <w:pPr>
        <w:spacing w:before="200" w:after="80"/>
      </w:pPr>
      <w:r>
        <w:rPr>
          <w:rFonts w:ascii="Times New Roman" w:hAnsi="Times New Roman"/>
          <w:b/>
          <w:i w:val="0"/>
          <w:color w:val="7030A0"/>
          <w:sz w:val="28"/>
        </w:rPr>
        <w:t>PHẦN IV. BẢNG TỔNG HỢP</w:t>
      </w:r>
    </w:p>
    <w:tbl>
      <w:tblPr>
        <w:tblStyle w:val="TableGrid"/>
        <w:tblW w:type="auto" w:w="0"/>
        <w:jc w:val="center"/>
        <w:tblLayout w:type="fixed"/>
        <w:tblLook w:firstColumn="1" w:firstRow="1" w:lastColumn="0" w:lastRow="0" w:noHBand="0" w:noVBand="1" w:val="04A0"/>
      </w:tblPr>
      <w:tblGrid>
        <w:gridCol w:w="2428"/>
        <w:gridCol w:w="2428"/>
        <w:gridCol w:w="2428"/>
        <w:gridCol w:w="2428"/>
        <w:gridCol w:w="2428"/>
        <w:gridCol w:w="2428"/>
      </w:tblGrid>
      <w:tr>
        <w:trPr>
          <w:cantSplit w:val="0"/>
          <w:tblHeader w:val="1"/>
        </w:trPr>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VĂN BẢN</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1</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2</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3</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MỨC 4</w:t>
            </w:r>
          </w:p>
        </w:tc>
        <w:tc>
          <w:tcPr>
            <w:tcW w:type="dxa" w:w="2428"/>
            <w:shd w:val="clear" w:fill="1F497D"/>
            <w:tcMar>
              <w:top w:w="60" w:type="dxa"/>
              <w:start w:w="90" w:type="dxa"/>
              <w:bottom w:w="60" w:type="dxa"/>
              <w:end w:w="90" w:type="dxa"/>
            </w:tcMar>
            <w:vAlign w:val="top"/>
          </w:tcPr>
          <w:p>
            <w:pPr>
              <w:spacing w:after="0" w:line="240" w:lineRule="auto"/>
              <w:ind w:firstLine="0" w:left="0"/>
              <w:jc w:val="center"/>
            </w:pPr>
            <w:r/>
            <w:r>
              <w:rPr>
                <w:rFonts w:ascii="Times New Roman" w:hAnsi="Times New Roman"/>
                <w:b/>
                <w:i w:val="0"/>
                <w:color w:val="FFFFFF"/>
                <w:sz w:val="28"/>
              </w:rPr>
              <w:t>SAU KHI SỬA</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Báo cáo tiếp thu, giải trình (bản 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Còn 01 Mức 4 (giữ nguyên)</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Dự thảo Thông báo (bản 10)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2</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Còn 01 Mức 4</w:t>
            </w:r>
          </w:p>
        </w:tc>
      </w:tr>
      <w:tr>
        <w:trPr>
          <w:cantSplit w:val="0"/>
        </w:trPr>
        <w:tc>
          <w:tcPr>
            <w:tcW w:type="dxa" w:w="2428"/>
            <w:tcMar>
              <w:top w:w="60" w:type="dxa"/>
              <w:start w:w="90" w:type="dxa"/>
              <w:bottom w:w="60" w:type="dxa"/>
              <w:end w:w="90" w:type="dxa"/>
            </w:tcMar>
            <w:vAlign w:val="top"/>
          </w:tcPr>
          <w:p>
            <w:pPr>
              <w:spacing w:after="0" w:line="240" w:lineRule="auto"/>
              <w:ind w:firstLine="0" w:left="0"/>
              <w:jc w:val="center"/>
            </w:pPr>
            <w:r/>
            <w:r>
              <w:rPr>
                <w:rFonts w:ascii="Times New Roman" w:hAnsi="Times New Roman"/>
                <w:b w:val="0"/>
                <w:i w:val="0"/>
                <w:sz w:val="26"/>
              </w:rPr>
              <w:t>Tài liệu hướng dẫn (bản 10)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1</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0</w:t>
            </w:r>
          </w:p>
        </w:tc>
        <w:tc>
          <w:tcPr>
            <w:tcW w:type="dxa" w:w="2428"/>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Không còn vấn đề</w:t>
            </w:r>
          </w:p>
        </w:tc>
      </w:tr>
    </w:tbl>
    <w:p>
      <w:pPr>
        <w:spacing w:after="40"/>
      </w:pPr>
    </w:p>
    <w:p>
      <w:pPr>
        <w:spacing w:after="60" w:line="276" w:lineRule="auto"/>
        <w:ind w:firstLine="567"/>
        <w:jc w:val="both"/>
      </w:pPr>
      <w:r>
        <w:rPr>
          <w:rFonts w:ascii="Times New Roman" w:hAnsi="Times New Roman"/>
          <w:b w:val="0"/>
          <w:i w:val="0"/>
          <w:sz w:val="28"/>
        </w:rPr>
        <w:t>Báo cáo tiếp thu, đoạn mở đầu: Bỏ cụm “ý kiến chỉ đạo của Hiệu trưởng ngày 12/10/2026” (tác nghiệp thường xuyên), mở đầu bằng việc nhận Báo cáo thẩm định lần 2 — đã xử lý theo ý kiến người soạn thảo.</w:t>
      </w:r>
    </w:p>
    <w:p>
      <w:pPr>
        <w:spacing w:after="60" w:line="276" w:lineRule="auto"/>
        <w:ind w:firstLine="567"/>
        <w:jc w:val="both"/>
      </w:pPr>
      <w:r>
        <w:rPr>
          <w:rFonts w:ascii="Times New Roman" w:hAnsi="Times New Roman"/>
          <w:b w:val="0"/>
          <w:i w:val="0"/>
          <w:sz w:val="28"/>
        </w:rPr>
        <w:t>Ghi chú: Vấn đề số 1 (Mức 2) chung cho Thông báo và Tài liệu hướng dẫn nên được đếm ở từng văn bản.</w:t>
      </w:r>
    </w:p>
    <w:p>
      <w:pPr>
        <w:spacing w:before="200" w:after="80"/>
      </w:pPr>
      <w:r>
        <w:rPr>
          <w:rFonts w:ascii="Times New Roman" w:hAnsi="Times New Roman"/>
          <w:b/>
          <w:i w:val="0"/>
          <w:color w:val="7030A0"/>
          <w:sz w:val="28"/>
        </w:rPr>
        <w:t>PHẦN V. THẨM ĐỊNH CHUYÊN MÔN (NẾU CÓ)</w:t>
      </w:r>
    </w:p>
    <w:p>
      <w:pPr>
        <w:spacing w:after="60" w:line="276" w:lineRule="auto"/>
        <w:ind w:firstLine="567"/>
        <w:jc w:val="both"/>
      </w:pPr>
      <w:r>
        <w:rPr>
          <w:rFonts w:ascii="Times New Roman" w:hAnsi="Times New Roman"/>
          <w:b w:val="0"/>
          <w:i w:val="0"/>
          <w:sz w:val="28"/>
        </w:rPr>
        <w:t>Lần rà soát này không thẩm định chuyên môn kỹ thuật của tệp plugin. Thẩm định chuyên môn đã được Phòng QLKHCN&amp;HTPT thực hiện (Báo cáo thẩm định lần 2 ngày 11/10/2026); Báo cáo tiếp thu, giải trình là văn bản trả lời Báo cáo đó.</w:t>
      </w:r>
    </w:p>
    <w:p>
      <w:pPr>
        <w:spacing w:before="200" w:after="80"/>
      </w:pPr>
      <w:r>
        <w:rPr>
          <w:rFonts w:ascii="Times New Roman" w:hAnsi="Times New Roman"/>
          <w:b/>
          <w:i w:val="0"/>
          <w:color w:val="7030A0"/>
          <w:sz w:val="28"/>
        </w:rPr>
        <w:t>PHẦN VI. ĐÁNH GIÁ TỔNG THỂ</w:t>
      </w:r>
    </w:p>
    <w:p>
      <w:pPr>
        <w:spacing w:after="60" w:line="276" w:lineRule="auto"/>
        <w:ind w:firstLine="567"/>
        <w:jc w:val="both"/>
      </w:pPr>
      <w:r>
        <w:rPr>
          <w:rFonts w:ascii="Times New Roman" w:hAnsi="Times New Roman"/>
          <w:b w:val="0"/>
          <w:i w:val="0"/>
          <w:sz w:val="28"/>
        </w:rPr>
        <w:t>Ba văn bản thống nhất với nhau sau khi sửa, đúng thể thức và quy ước riêng của Trường. Phần sửa bản 10 xử lý đúng trọng tâm các nội dung mức “Chặn” bằng cách hạ mức mô tả cho khớp thực tế công cụ (Task_ID, thao tác chặn ghi, kiểm thử, cập nhật plugin), không thay đổi tệp plugin. Các nội dung giải trình (P0-04, P0-05, P1-02) và tiếp thu một phần (P0-02, P1-06) là lựa chọn của người có thẩm quyền, được nêu rõ lý do, không phải vấn đề thể thức hay pháp lý.</w:t>
      </w:r>
    </w:p>
    <w:p>
      <w:pPr>
        <w:spacing w:before="200" w:after="80"/>
      </w:pPr>
      <w:r>
        <w:rPr>
          <w:rFonts w:ascii="Times New Roman" w:hAnsi="Times New Roman"/>
          <w:b/>
          <w:i w:val="0"/>
          <w:color w:val="7030A0"/>
          <w:sz w:val="28"/>
        </w:rPr>
        <w:t>PHẦN VII. KẾT LUẬN VÀ THỨ TỰ XỬ LÝ</w:t>
      </w:r>
    </w:p>
    <w:p>
      <w:pPr>
        <w:spacing w:after="60" w:line="276" w:lineRule="auto"/>
        <w:ind w:firstLine="567"/>
        <w:jc w:val="both"/>
      </w:pPr>
      <w:r>
        <w:rPr>
          <w:rFonts w:ascii="Times New Roman" w:hAnsi="Times New Roman"/>
          <w:b w:val="0"/>
          <w:i w:val="0"/>
          <w:sz w:val="28"/>
        </w:rPr>
        <w:t>Kết luận: Không còn vấn đề Mức 1, Mức 2, Mức 3. Ba văn bản đủ điều kiện trình về thể thức, căn cứ, tính thống nhất.</w:t>
      </w:r>
    </w:p>
    <w:p>
      <w:pPr>
        <w:spacing w:after="60" w:line="276" w:lineRule="auto"/>
        <w:ind w:firstLine="567"/>
        <w:jc w:val="both"/>
      </w:pPr>
      <w:r>
        <w:rPr>
          <w:rFonts w:ascii="Times New Roman" w:hAnsi="Times New Roman"/>
          <w:b w:val="0"/>
          <w:i w:val="0"/>
          <w:sz w:val="28"/>
        </w:rPr>
        <w:t>Thứ tự xử lý: (1) Người soạn thảo xem xét 02 vấn đề Mức 4 còn lại (số 4, 5); (2) Ký Báo cáo tiếp thu, giải trình; (3) Trình Hiệu trưởng ký ban hành Thông báo bản 10 kèm Tài liệu hướng dẫn bản 10; (4) Công bố tệp plugin 1.3.13 kèm mã SHA-256 và ghi chú phát hành.</w:t>
      </w:r>
    </w:p>
    <w:p>
      <w:pPr>
        <w:spacing w:before="200" w:after="80"/>
      </w:pPr>
      <w:r>
        <w:rPr>
          <w:rFonts w:ascii="Times New Roman" w:hAnsi="Times New Roman"/>
          <w:b/>
          <w:i w:val="0"/>
          <w:color w:val="7030A0"/>
          <w:sz w:val="28"/>
        </w:rPr>
        <w:t>KIỂM TRA CHẤT LƯỢNG CUỐI CÙNG</w:t>
      </w:r>
    </w:p>
    <w:p>
      <w:pPr>
        <w:spacing w:after="60" w:line="276" w:lineRule="auto"/>
        <w:ind w:firstLine="567"/>
        <w:jc w:val="both"/>
      </w:pPr>
      <w:r>
        <w:rPr>
          <w:rFonts w:ascii="Times New Roman" w:hAnsi="Times New Roman"/>
          <w:b w:val="0"/>
          <w:i w:val="0"/>
          <w:sz w:val="28"/>
        </w:rPr>
        <w:t>Đã quét lại 3 văn bản sau khi sửa: 0 gợi ý thể thức; 0 gợi ý viện dẫn; 0 vị trí viết thường sau dấu hai chấm; không còn “Task_ID dùng xuyên suốt”, “cấp Task_ID”, “tối đa 50 MB”, “gỡ bản cũ trước”, ý kiến Phòng TCCB&amp;CTHSSV ngày 06/10/2026. Tệp Track Changes hợp lệ theo trình kiểm OOXML: Thông báo 24 dấu vết, Tài liệu hướng dẫn 38 dấu vết, 01 tác giả “Tiếp thu thẩm định lần 2, 12/10 (Claude)”. Đã xem bản in thử trang đầu, trang ký Báo cáo, trang 2 Thông báo, trang mục lục Tài liệu hướng dẫn.</w:t>
      </w:r>
    </w:p>
    <w:p>
      <w:pPr>
        <w:spacing w:before="200" w:after="80"/>
      </w:pPr>
      <w:r>
        <w:rPr>
          <w:rFonts w:ascii="Times New Roman" w:hAnsi="Times New Roman"/>
          <w:b/>
          <w:i w:val="0"/>
          <w:color w:val="7030A0"/>
          <w:sz w:val="28"/>
        </w:rPr>
        <w:t>THÔNG TIN TRÁCH NHIỆM</w:t>
      </w:r>
    </w:p>
    <w:tbl>
      <w:tblPr>
        <w:tblStyle w:val="TableGrid"/>
        <w:tblW w:type="auto" w:w="0"/>
        <w:jc w:val="center"/>
        <w:tblLayout w:type="fixed"/>
        <w:tblLook w:firstColumn="1" w:firstRow="1" w:lastColumn="0" w:lastRow="0" w:noHBand="0" w:noVBand="1" w:val="04A0"/>
      </w:tblPr>
      <w:tblGrid>
        <w:gridCol w:w="2778"/>
        <w:gridCol w:w="11680"/>
      </w:tblGrid>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Nguồn dữ liệu đã dùng</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Báo cáo thẩm định lần 2 ngày 11/10/2026 của phòng QLKHCN&amp;HTPT; hồ sơ đã gửi thẩm định lần 2 (Thông báo, Tài liệu hướng dẫn bản 9; tệp plugin 1.3.13, mã SHA-256); kho KTC-Database 02 (Quyết định số 2119/QĐ-CĐKT); bộ tài liệu hướng dẫn sử dụng VNPT-ĐGCB (kpi.quangngai.dcs.vn); trang hỗ trợ Anthropic “Manage plugins for your organization” (truy cập 12/10/2026); Bộ quy tắc KTC-Ra-Soat-897 v2.25 (Checklist 01 - 09). · Công cụ hỗ trợ: Hệ KTC-Ra-Soat-897-v2-Cai-tien (Skill ktc-ra-soat-897, v2.25), chạy ngày 12/10/2026.</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Người kiểm tra</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val="0"/>
                <w:i w:val="0"/>
                <w:sz w:val="26"/>
              </w:rPr>
              <w:t>Nguyễn Ngọc Quang Phục, Phó Trưởng phòng TH-HC&amp;QT chịu trách nhiệm xác nhận kết quả.</w:t>
            </w:r>
          </w:p>
        </w:tc>
      </w:tr>
      <w:tr>
        <w:trPr>
          <w:cantSplit w:val="0"/>
        </w:trPr>
        <w:tc>
          <w:tcPr>
            <w:tcW w:type="dxa" w:w="2778"/>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sz w:val="26"/>
              </w:rPr>
              <w:t>Trạng thái phê duyệt</w:t>
            </w:r>
          </w:p>
        </w:tc>
        <w:tc>
          <w:tcPr>
            <w:tcW w:type="dxa" w:w="11679"/>
            <w:tcMar>
              <w:top w:w="60" w:type="dxa"/>
              <w:start w:w="90" w:type="dxa"/>
              <w:bottom w:w="60" w:type="dxa"/>
              <w:end w:w="90" w:type="dxa"/>
            </w:tcMar>
            <w:vAlign w:val="top"/>
          </w:tcPr>
          <w:p>
            <w:pPr>
              <w:spacing w:after="0" w:line="240" w:lineRule="auto"/>
              <w:ind w:firstLine="0" w:left="0"/>
              <w:jc w:val="both"/>
            </w:pPr>
            <w:r/>
            <w:r>
              <w:rPr>
                <w:rFonts w:ascii="Times New Roman" w:hAnsi="Times New Roman"/>
                <w:b/>
                <w:i w:val="0"/>
                <w:color w:val="C00000"/>
                <w:sz w:val="26"/>
              </w:rPr>
              <w:t>BẢN NHÁP – Kết quả AI chỉ có giá trị tham khảo. Cần phê duyệt chính thức trước khi dùng.</w:t>
            </w:r>
          </w:p>
        </w:tc>
      </w:tr>
    </w:tbl>
    <w:p>
      <w:pPr>
        <w:spacing w:after="40"/>
      </w:pPr>
    </w:p>
    <w:sectPr w:rsidR="00FC693F" w:rsidRPr="0006063C" w:rsidSect="00034616">
      <w:footerReference w:type="default" r:id="rId9"/>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646464"/>
        <w:sz w:val="20"/>
      </w:rPr>
      <w:t xml:space="preserve">Hệ KTC-Ra-Soat-897-v2-Cai-tien (Skill ktc-ra-soat-897, phiên bản v2.25)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1655</Words>
  <Characters>6257</Characters>
  <Application>Microsoft Macintosh Word</Application>
  <DocSecurity>0</DocSecurity>
  <Lines>0</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