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 </w:t>
      </w:r>
      <w:r>
        <w:rPr>
          <w:i/>
          <w:iCs/>
          <w:sz w:val="28"/>
          <w:szCs w:val="28"/>
        </w:rPr>
        <w:t xml:space="preserve">Luật sửa đổi, bổ sung một số điều của Luật Quy hoạch, Luật Đầu tư, Luật Đầu tư theo phương thức đối tác công tư và Luật Đấu thầu ngày 29/11/2024;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 </w:t>
      </w:r>
      <w:r>
        <w:rPr>
          <w:i/>
          <w:iCs/>
          <w:sz w:val="28"/>
          <w:szCs w:val="28"/>
        </w:rPr>
        <w:t xml:space="preserve">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 Luật Xây dựng ngày 10/12/2025</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sz w:val="28"/>
          <w:szCs w:val="28"/>
        </w:rPr>
        <w:t xml:space="preserve"> (hợp nhất tại Văn bản hợp nhất số 36/2026/VBHN-NĐ-BTC)</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theo khoản 4 Điều 78 (gói thầu dịch vụ tư vấn thuộc dự án có giá gói thầu không quá 03 tỷ đồng), quy trình rút gọn theo Điều 80 của Nghị định số 214/2025/NĐ-CP.</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Chỉ định thầu</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Quy trình rút gọn</w:t>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Chỉ định thầu</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Quy trình rút gọn</w:t>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sz w:val="28"/>
          <w:szCs w:val="28"/>
        </w:rPr>
        <w:t xml:space="preserve"> Gói thầu số 1 gồm hai khoản mục khảo sát xây dựng (93.995.981 đồng) và lập Báo cáo kinh tế - kỹ thuật (758.349.265 đồng) tại Phụ lục Quyết định số 2158/QĐ-CĐKT.</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