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color w:val="FF0000"/>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color w:val="FF0000"/>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color w:val="FF0000"/>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color w:val="FF0000"/>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phương thức một giai đoạn một túi hồ sơ theo điểm c khoản 1 Điều 30 của Luật Đấu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color w:val="FF0000"/>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color w:val="FF0000"/>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color w:val="FF0000"/>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color w:val="FF0000"/>
                <w:sz w:val="26"/>
                <w:szCs w:val="26"/>
              </w:rPr>
              <w:t xml:space="preserve">Một giai đoạn một túi hồ sơ</w:t>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color w:val="FF0000"/>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color w:val="FF0000"/>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color w:val="FF0000"/>
                <w:sz w:val="26"/>
                <w:szCs w:val="26"/>
              </w:rPr>
              <w:t xml:space="preserve">Một giai đoạn một túi hồ sơ</w:t>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Theo thời gian thực hiện nhiệm vụ  dự án </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color w:val="FF0000"/>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color w:val="FF0000"/>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color w:val="FF0000"/>
          <w:sz w:val="28"/>
          <w:szCs w:val="28"/>
        </w:rPr>
        <w:t xml:space="preserve"> Gói thầu số 1 gồm hai khoản mục khảo sát xây dựng (93.995.981 đồng) và lập Báo cáo kinh tế - kỹ thuật (758.349.265 đồng) tại Phụ lục Quyết định số 2158/QĐ-CĐKT.</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