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w:t>
      </w:r>
      <w:r>
        <w:rPr>
          <w:i/>
          <w:iCs/>
          <w:sz w:val="28"/>
          <w:szCs w:val="28"/>
        </w:rPr>
        <w:t xml:space="preserve"> (hợp nhất tại Văn bản hợp nhất số 74/VBHN-VPQH ngày 25/3/2026 của Văn phòng Quốc hội)</w:t>
      </w:r>
      <w:r>
        <w:rPr>
          <w:i/>
          <w:iCs/>
          <w:sz w:val="28"/>
          <w:szCs w:val="28"/>
        </w:rPr>
        <w:t xml:space="preserve">;</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w:t>
      </w:r>
      <w:r>
        <w:rPr>
          <w:i/>
          <w:iCs/>
          <w:sz w:val="28"/>
          <w:szCs w:val="28"/>
        </w:rPr>
        <w:t xml:space="preserve"> (hợp nhất tại Văn bản hợp nhất số 03/VBHN-VPQH ngày 05/2/2026 của Văn phòng Quốc hội)</w:t>
      </w:r>
      <w:r>
        <w:rPr>
          <w:i/>
          <w:iCs/>
          <w:sz w:val="28"/>
          <w:szCs w:val="28"/>
        </w:rPr>
        <w:t xml:space="preserve">;</w:t>
      </w:r>
    </w:p>
    <w:p w14:paraId="5317FF0E" w14:textId="6C141C21"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w:t>
      </w:r>
      <w:r w:rsidR="00B620F4">
        <w:rPr>
          <w:i/>
          <w:iCs/>
          <w:sz w:val="28"/>
          <w:szCs w:val="28"/>
        </w:rPr>
        <w:t>/</w:t>
      </w:r>
      <w:r>
        <w:rPr>
          <w:i/>
          <w:iCs/>
          <w:sz w:val="28"/>
          <w:szCs w:val="28"/>
        </w:rPr>
        <w:t>12</w:t>
      </w:r>
      <w:r w:rsidR="00B620F4">
        <w:rPr>
          <w:i/>
          <w:iCs/>
          <w:sz w:val="28"/>
          <w:szCs w:val="28"/>
        </w:rPr>
        <w:t>/</w:t>
      </w:r>
      <w:r>
        <w:rPr>
          <w:i/>
          <w:iCs/>
          <w:sz w:val="28"/>
          <w:szCs w:val="28"/>
        </w:rPr>
        <w:t>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214/2025/NĐ-CP ngày 04/8/2025 của Chính phủ quy định chi tiết một số điều và biện pháp thi hành Luật Đấu thầu về lựa chọn nhà thầu</w:t>
      </w:r>
      <w:r>
        <w:rPr>
          <w:i/>
          <w:iCs/>
          <w:sz w:val="28"/>
          <w:szCs w:val="28"/>
        </w:rPr>
        <w:t xml:space="preserve"> (hợp nhất tại Văn bản hợp nhất số 36/2026/VBHN-NĐ-BTC ngày 23/9/2026 của Bộ Tài chính)</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rút gọn theo khoản 4 Điều 78 (gói thầu dịch vụ tư vấn thuộc dự án có giá gói thầu không quá 03 tỷ đồng) và Điều 80 của Nghị định số 214/2025/NĐ-CP; chỉ định thầu rút gọn không quy định phương thức lựa chọn nhà thầu.</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Việc ký kết, thanh toán hợp đồng chỉ thực hiện trong phạm vi kế hoạch vốn do cấp có thẩm quyền giao và dự toán đã được phê duyệt.</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89"/>
        <w:gridCol w:w="1512"/>
        <w:gridCol w:w="1375"/>
        <w:gridCol w:w="1788"/>
        <w:gridCol w:w="825"/>
        <w:gridCol w:w="824"/>
        <w:gridCol w:w="962"/>
        <w:gridCol w:w="962"/>
        <w:gridCol w:w="1100"/>
        <w:gridCol w:w="824"/>
        <w:gridCol w:w="825"/>
        <w:gridCol w:w="962"/>
        <w:gridCol w:w="824"/>
      </w:tblGrid>
      <w:tr w:rsidR="00856D5E" w:rsidRPr="00856D5E" w14:paraId="400FB775" w14:textId="39933904" w:rsidTr="00863808">
        <w:trPr>
          <w:jc w:val="center"/>
          <w:tblHead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blHead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sz w:val="26"/>
                <w:szCs w:val="26"/>
              </w:rPr>
              <w:t xml:space="preserve">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sz w:val="26"/>
                <w:szCs w:val="26"/>
                <w:highlight w:val="yellow"/>
              </w:rPr>
              <w:t xml:space="preserve">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sz w:val="26"/>
                <w:szCs w:val="26"/>
              </w:rPr>
              <w:t xml:space="preserve">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sz w:val="26"/>
                <w:szCs w:val="26"/>
              </w:rPr>
              <w:t xml:space="preserve">Chỉ định thầu rút gọn</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sz w:val="26"/>
                <w:szCs w:val="26"/>
              </w:rPr>
              <w:t xml:space="preserve"/>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sz w:val="26"/>
                <w:szCs w:val="26"/>
              </w:rPr>
              <w:t xml:space="preserve">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sz w:val="26"/>
                <w:szCs w:val="26"/>
              </w:rPr>
              <w:t xml:space="preserve">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sz w:val="26"/>
                <w:szCs w:val="26"/>
              </w:rPr>
              <w:t>Tư vấn quản lý dự án trong giai đoạn chuẩn bị đầu tư</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sz w:val="26"/>
                <w:szCs w:val="26"/>
              </w:rPr>
              <w:t xml:space="preserve">Chỉ định thầu rút gọn</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sz w:val="26"/>
                <w:szCs w:val="26"/>
              </w:rPr>
              <w:t xml:space="preserve"/>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sz w:val="26"/>
                <w:szCs w:val="26"/>
              </w:rPr>
              <w:t xml:space="preserve">180 ngày</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sz w:val="28"/>
          <w:szCs w:val="28"/>
        </w:rPr>
        <w:t xml:space="preserve">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sz w:val="28"/>
          <w:szCs w:val="28"/>
        </w:rPr>
        <w:t xml:space="preserve">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sz w:val="28"/>
          <w:szCs w:val="28"/>
        </w:rPr>
        <w:t xml:space="preserve"> Gói thầu số 1 gồm hai khoản mục khảo sát xây dựng (93.995.981 đồng) và lập Báo cáo kinh tế - kỹ thuật (758.349.265 đồng) tại Phụ lục Quyết định số 2158/QĐ-CĐKT. Thời gian thực hiện gói thầu số 2 tính từ ngày hợp đồng có hiệu lực đến khi hoàn thành hồ sơ dự án trình cấp có thẩm quyền, gồm thời gian thực hiện gói thầu số 1 (120 ngày) và thời gian thẩm định, hoàn thiện hồ sơ (dự kiến 60 ngày).</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