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5" w:type="dxa"/>
        <w:jc w:val="center"/>
        <w:tblLayout w:type="fixed"/>
        <w:tblLook w:val="01E0" w:firstRow="1" w:lastRow="1" w:firstColumn="1" w:lastColumn="1" w:noHBand="0" w:noVBand="0"/>
      </w:tblPr>
      <w:tblGrid>
        <w:gridCol w:w="4537"/>
        <w:gridCol w:w="5418"/>
      </w:tblGrid>
      <w:tr w:rsidR="00C008A4" w:rsidRPr="00C008A4" w14:paraId="2A2DFA57" w14:textId="77777777" w:rsidTr="0026626A">
        <w:trPr>
          <w:trHeight w:val="20"/>
          <w:jc w:val="center"/>
        </w:trPr>
        <w:tc>
          <w:tcPr>
            <w:tcW w:w="4537" w:type="dxa"/>
          </w:tcPr>
          <w:p w14:paraId="3939DCBA" w14:textId="46995EF3" w:rsidR="00C3669C" w:rsidRPr="00C008A4" w:rsidRDefault="00C3669C" w:rsidP="00D26333">
            <w:pPr>
              <w:jc w:val="center"/>
              <w:rPr>
                <w:b/>
                <w:sz w:val="26"/>
                <w:lang w:val="nl-NL" w:eastAsia="vi-VN"/>
              </w:rPr>
            </w:pPr>
            <w:r w:rsidRPr="00C008A4">
              <w:rPr>
                <w:sz w:val="26"/>
                <w:lang w:val="nl-NL" w:eastAsia="vi-VN"/>
              </w:rPr>
              <w:t>UBND TỈNH QUẢNG NGÃI</w:t>
            </w:r>
          </w:p>
          <w:p w14:paraId="7BD5A3E8" w14:textId="421E4173"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4DFE0167"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2488ABA7"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53DCD148" w14:textId="77777777" w:rsidTr="0026626A">
        <w:trPr>
          <w:trHeight w:val="1137"/>
          <w:jc w:val="center"/>
        </w:trPr>
        <w:tc>
          <w:tcPr>
            <w:tcW w:w="4537" w:type="dxa"/>
            <w:vAlign w:val="center"/>
          </w:tcPr>
          <w:p w14:paraId="40E998D2" w14:textId="4E3220C0"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1D36EAD1" wp14:editId="16D629EA">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4B11B0">
              <w:rPr>
                <w:sz w:val="26"/>
                <w:szCs w:val="26"/>
                <w:lang w:eastAsia="vi-VN"/>
              </w:rPr>
              <w:t xml:space="preserve">        </w:t>
            </w:r>
            <w:r w:rsidR="00C3669C" w:rsidRPr="00C008A4">
              <w:rPr>
                <w:sz w:val="26"/>
                <w:szCs w:val="26"/>
                <w:lang w:eastAsia="vi-VN"/>
              </w:rPr>
              <w:t>/CĐKT-THHCQT</w:t>
            </w:r>
          </w:p>
          <w:p w14:paraId="2995295F" w14:textId="0CB78D12" w:rsidR="00C3669C" w:rsidRPr="00C008A4" w:rsidRDefault="00C3669C" w:rsidP="003C53DC">
            <w:pPr>
              <w:spacing w:before="120"/>
              <w:jc w:val="both"/>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xuất nhiệm vụ, giải pháp triển khai thực hiện Kết luận số 106-KL/TW và Quy định số 224-QĐ/TW của Ban Chấp hành Trung ương Đảng</w:t>
            </w:r>
            <w:r w:rsidR="0040124F" w:rsidRPr="0040124F">
              <w:rPr>
                <w:sz w:val="26"/>
                <w:szCs w:val="26"/>
                <w:lang w:eastAsia="vi-VN"/>
              </w:rPr>
            </w:r>
            <w:r w:rsidR="0040124F">
              <w:rPr>
                <w:sz w:val="26"/>
                <w:szCs w:val="26"/>
                <w:lang w:eastAsia="vi-VN"/>
              </w:rPr>
            </w:r>
            <w:r w:rsidR="0084256F" w:rsidRPr="0084256F">
              <w:rPr>
                <w:sz w:val="26"/>
                <w:szCs w:val="26"/>
                <w:lang w:eastAsia="vi-VN"/>
              </w:rPr>
            </w:r>
            <w:r w:rsidR="00EA66FA">
              <w:rPr>
                <w:sz w:val="26"/>
                <w:szCs w:val="26"/>
                <w:lang w:eastAsia="vi-VN"/>
              </w:rPr>
            </w:r>
            <w:r w:rsidR="0040124F">
              <w:rPr>
                <w:sz w:val="26"/>
                <w:szCs w:val="26"/>
                <w:lang w:eastAsia="vi-VN"/>
              </w:rPr>
            </w:r>
            <w:bookmarkEnd w:id="0"/>
            <w:r w:rsidR="000B74BF">
              <w:rPr>
                <w:sz w:val="26"/>
                <w:szCs w:val="26"/>
                <w:lang w:eastAsia="vi-VN"/>
              </w:rPr>
            </w:r>
            <w:r w:rsidR="003C53DC">
              <w:rPr>
                <w:sz w:val="26"/>
                <w:szCs w:val="26"/>
                <w:lang w:eastAsia="vi-VN"/>
              </w:rPr>
            </w:r>
            <w:r w:rsidR="000B74BF">
              <w:rPr>
                <w:sz w:val="26"/>
                <w:szCs w:val="26"/>
                <w:lang w:eastAsia="vi-VN"/>
              </w:rPr>
            </w:r>
            <w:r w:rsidR="001B5D85">
              <w:rPr>
                <w:sz w:val="26"/>
                <w:szCs w:val="26"/>
                <w:lang w:eastAsia="vi-VN"/>
              </w:rPr>
            </w:r>
            <w:r w:rsidR="000B74BF">
              <w:rPr>
                <w:sz w:val="26"/>
                <w:szCs w:val="26"/>
                <w:lang w:eastAsia="vi-VN"/>
              </w:rPr>
            </w:r>
          </w:p>
        </w:tc>
        <w:tc>
          <w:tcPr>
            <w:tcW w:w="5418" w:type="dxa"/>
          </w:tcPr>
          <w:p w14:paraId="5A60EFCF" w14:textId="563B9368"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A3AD00" wp14:editId="4632E8B0">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B74BF">
              <w:rPr>
                <w:i/>
                <w:sz w:val="28"/>
                <w:szCs w:val="28"/>
                <w:lang w:eastAsia="vi-VN"/>
              </w:rPr>
              <w:t>19</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5955A560" w14:textId="77777777" w:rsidR="00C3669C" w:rsidRPr="00C008A4" w:rsidRDefault="00C3669C" w:rsidP="00C3669C">
      <w:pPr>
        <w:pStyle w:val="Normal1"/>
        <w:rPr>
          <w:b/>
          <w:sz w:val="2"/>
          <w:szCs w:val="2"/>
        </w:rPr>
      </w:pPr>
    </w:p>
    <w:p w14:paraId="45B63522" w14:textId="489FED15" w:rsidR="00C3669C" w:rsidRPr="00C008A4" w:rsidRDefault="00C3669C" w:rsidP="00BC7F08">
      <w:pPr>
        <w:widowControl w:val="0"/>
        <w:spacing w:before="360" w:after="480"/>
        <w:jc w:val="center"/>
        <w:rPr>
          <w:sz w:val="28"/>
          <w:szCs w:val="28"/>
        </w:rPr>
      </w:pPr>
      <w:r w:rsidRPr="00C008A4">
        <w:rPr>
          <w:sz w:val="28"/>
          <w:szCs w:val="28"/>
        </w:rPr>
        <w:t xml:space="preserve">Kính gửi: </w:t>
      </w:r>
      <w:r w:rsidR="003C53DC">
        <w:rPr>
          <w:spacing w:val="-4"/>
          <w:sz w:val="28"/>
          <w:szCs w:val="28"/>
          <w:lang w:eastAsia="vi-VN"/>
        </w:rPr>
        <w:t>Sở Tài chính</w:t>
      </w:r>
      <w:r w:rsidRPr="00C008A4">
        <w:rPr>
          <w:spacing w:val="-4"/>
          <w:sz w:val="28"/>
          <w:szCs w:val="28"/>
          <w:lang w:eastAsia="vi-VN"/>
        </w:rPr>
        <w:t>.</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Thực hiện Văn bản số 10826/UBND-KTTH ngày 18/10/2026 của Ủy ban nhân dân tỉnh về việc tham mưu triển khai thực hiện các Quy định, Kết luận của Ban Chấp hành Trung ương Đảng (triển khai Công văn số 997-CV/TU ngày 17/10/2026 của Thường trực Tỉnh ủy), Trường Cao đẳng Kon Tum đã nghiên cứu Kết luận số 106-KL/TW ngày 15/10/2026 và Quy định số 224-QĐ/TW ngày 14/10/2026 của Ban Chấp hành Trung ương Đảng. Căn cứ chức năng, nhiệm vụ của đơn vị sự nghiệp công lập giáo dục nghề nghiệp trực thuộc Ủy ban nhân dân tỉnh, nhà trường đề xuất như sau.</w:t>
      </w:r>
    </w:p>
    <w:p w14:paraId="65627FBB" w14:textId="7BFAF3E8" w:rsidR="00C3669C" w:rsidRDefault="003C53DC" w:rsidP="00D70149">
      <w:pPr>
        <w:keepNext/>
        <w:widowControl w:val="0"/>
        <w:spacing w:before="120" w:after="120" w:line="348" w:lineRule="auto"/>
        <w:ind w:firstLine="0"/>
        <w:jc w:val="left"/>
        <w:rPr>
          <w:rFonts w:eastAsia="MS Mincho"/>
          <w:sz w:val="28"/>
          <w:szCs w:val="28"/>
          <w:lang w:eastAsia="ja-JP"/>
        </w:rPr>
      </w:pPr>
      <w:r>
        <w:rPr>
          <w:b/>
          <w:rFonts w:eastAsia="MS Mincho"/>
          <w:sz w:val="28"/>
          <w:szCs w:val="28"/>
          <w:lang w:eastAsia="ja-JP"/>
        </w:rPr>
        <w:t xml:space="preserve">I. ĐỐI VỚI KẾT LUẬN SỐ 106-KL/TW</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Trong các nội dung của Kết luận, nhà trường xác định liên quan trực tiếp đến nhiệm vụ của mình là phát triển nguồn nhân lực chất lượng cao (mục 2.6), khoa học, công nghệ, chuyển đổi số (mục 2.5), đầu tư công và tiết kiệm chi (mục 2.1 và 2.12), cắt giảm báo cáo, thủ tục (mục 2.2). Nhà trường đề xuất đưa vào Kế hoạch triển khai của tỉnh các nhiệm vụ, giải pháp sau.</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1. Phát triển nguồn nhân lực chất lượng cao, gắn đào tạo với nhu cầu của tỉnh. </w:t>
      </w:r>
      <w:r>
        <w:rPr>
          <w:rFonts w:eastAsia="MS Mincho"/>
          <w:sz w:val="28"/>
          <w:szCs w:val="28"/>
          <w:lang w:eastAsia="ja-JP"/>
        </w:rPr>
        <w:t xml:space="preserve">Kết luận đặt chỉ tiêu năm 2027 về tỉ lệ lao động có kỹ năng công nghệ thông tin (63%), tỉ trọng quy mô đào tạo các ngành STEM (33%), tỉ lệ đào tạo lại, đào tạo thường xuyên (28%); mục tiêu tăng trưởng GRDP năm 2027 của tỉnh Quảng Ngãi là 9,0% (Phụ lục II). Nhà trường sẽ rà soát, mở ngành, nghề gắn với chuyển đổi số (đang hoàn thiện hồ sơ các ngành Truyền thông đa phương tiện, Trí tuệ nhân tạo và quản lý dữ liệu, Y sỹ đa khoa); mở rộng đào tạo lại, đào tạo thường xuyên, đào tạo sơ cấp và dưới 03 tháng theo đặt hàng của doanh nghiệp, xã, phường (năm học 2025-2026 đã tuyển 6.096 học viên sơ cấp và các chương trình khác; đã ký kết hợp tác với 40 xã, phường phía Tây của tỉnh); tích hợp mô đun chuyển đổi số, kỹ năng số, trí tuệ nhân tạo vào chương trình của 100% học sinh, sinh viên chính quy. Nhà trường đề nghị tỉnh sớm triển khai cơ chế đặt hàng, giao nhiệm vụ đào tạo và ban hành định mức kinh tế - kỹ thuật, giá dịch vụ đào tạo, vì đến nay tỉnh chưa triển khai.</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2. Đầu tư công. </w:t>
      </w:r>
      <w:r>
        <w:rPr>
          <w:rFonts w:eastAsia="MS Mincho"/>
          <w:sz w:val="28"/>
          <w:szCs w:val="28"/>
          <w:lang w:eastAsia="ja-JP"/>
        </w:rPr>
        <w:t xml:space="preserve">Năm 2025, nhà trường giải ngân đạt 100% vốn đầu tư được giao (35.457 triệu đồng). Giai đoạn 2026-2030, nhà trường đang chuẩn bị đầu tư dự án thuộc Chương trình mục tiêu quốc gia xây dựng nông thôn mới, giảm nghèo bền vững và phát triển kinh tế - xã hội vùng đồng bào dân tộc thiểu số và miền núi, đồng thời đề xuất tham gia Dự án thành phần 2 của Chương trình mục tiêu quốc gia hiện đại hóa, nâng cao chất lượng giáo dục và đào tạo (đề xuất 192.857 triệu đồng, trong đó ngân sách trung ương 150.000 triệu đồng). Để bảo đảm giải ngân gắn với hiệu quả, nhà trường đề nghị (a) bố trí vốn chuẩn bị đầu tư tương xứng với dự toán đã phê duyệt, vì vốn năm 2026 giao là 260 triệu đồng so với dự toán 6.249,856 triệu đồng (khoảng 4,2%); (b) phân định rõ ranh giới nội dung, hạng mục giữa hai Chương trình nêu trên để không trùng lặp; (c) hướng dẫn tiêu chí, thời điểm điều chuyển vốn từ nơi giải ngân thấp sang nơi giải ngân tốt.</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3. Tiết kiệm chi và bảo đảm kinh phí hoạt động chuyên môn năm 2027. </w:t>
      </w:r>
      <w:r>
        <w:rPr>
          <w:rFonts w:eastAsia="MS Mincho"/>
          <w:sz w:val="28"/>
          <w:szCs w:val="28"/>
          <w:lang w:eastAsia="ja-JP"/>
        </w:rPr>
        <w:t xml:space="preserve">Kết luận yêu cầu tiết kiệm ngay khi phân bổ dự toán năm 2027 là 5% chi đầu tư công và 10% chi thường xuyên (ngoài các khoản chi lương, có tính chất tiền lương và chi cho con người). Nhà trường tự chủ một phần chi thường xuyên (mức 23%); năm 2025 ngân sách nhà nước cấp chi thường xuyên 40.178 triệu đồng và chi chế độ, chính sách cho học sinh, sinh viên 26.010 triệu đồng (miễn, giảm học phí 2.584 người; nội trú 1.782 người; trợ cấp xã hội 2.468 người). Nhà trường đề nghị Sở Tài chính hướng dẫn (a) cơ sở tính khoản tiết kiệm 10% đối với đơn vị tự chủ một phần, loại trừ kinh phí thực hiện chế độ, chính sách đối với người học; (b) bảo đảm kinh phí không thường xuyên năm 2027 cho kiểm định chương trình, đánh giá chất lượng trường, Hội giảng, Hội thi thiết bị đào tạo tự làm (10.261 triệu đồng, theo Báo cáo số 332/BC-CĐKT ngày 15/7/2026). Nhà trường sẽ xây dựng Chương trình tiết kiệm, chống lãng phí năm 2027 và điều chỉnh Quy chế chi tiêu nội bộ.</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4. Khoa học, công nghệ, chuyển đổi số và cắt giảm báo cáo. </w:t>
      </w:r>
      <w:r>
        <w:rPr>
          <w:rFonts w:eastAsia="MS Mincho"/>
          <w:sz w:val="28"/>
          <w:szCs w:val="28"/>
          <w:lang w:eastAsia="ja-JP"/>
        </w:rPr>
        <w:t xml:space="preserve">Nhà trường đã bảo đảm 100% viên chức hoàn thành khóa bồi dưỡng kỹ năng số trên nền tảng Bình dân học vụ số của tỉnh; bồi dưỡng ứng dụng trí tuệ nhân tạo cho 173 nhà giáo; thực hiện 100% báo cáo, văn bản hành chính trên môi trường số có chữ ký số; dữ liệu tuyển sinh, văn bằng, chứng chỉ, viên chức đã kết nối với Tổng cục Giáo dục nghề nghiệp và Sở Nội vụ. Nhà trường đề nghị (a) tỉnh hướng dẫn việc dùng chung dữ liệu giữa các cơ quan để cắt giảm báo cáo, văn bản trùng lặp; (b) hướng dẫn xây dựng hồ sơ học tập số của người học giáo dục nghề nghiệp. Nhà trường đang thí điểm có kiểm soát bộ công cụ trí tuệ nhân tạo hỗ trợ soạn thảo văn bản, theo dõi nhiệm vụ, lập báo cáo và sẵn sàng chia sẻ kết quả khi có yêu cầu.</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5. Huy động nguồn lực ngoài ngân sách, sử dụng hiệu quả nhà, đất. </w:t>
      </w:r>
      <w:r>
        <w:rPr>
          <w:rFonts w:eastAsia="MS Mincho"/>
          <w:sz w:val="28"/>
          <w:szCs w:val="28"/>
          <w:lang w:eastAsia="ja-JP"/>
        </w:rPr>
        <w:t xml:space="preserve">Phù hợp yêu cầu huy động mọi nguồn lực, thu hút đầu tư tư nhân (mục 2.1) và xử lý dứt điểm nhà, đất dôi dư (mục 2.2), nhà trường đã xây dựng Đề án thành lập Trung tâm Đăng kiểm xe cơ giới theo mô hình công ty trách nhiệm hữu hạn hai thành viên trở lên (nhà trường 51%, nhà đầu tư chiến lược 49%), không sử dụng ngân sách nhà nước để đầu tư, không góp vốn bằng quyền sử dụng đất. Hồ sơ đang được hoàn thiện để trình lại qua Sở Tài chính theo Văn bản số 10316/UBND-NC ngày 05/10/2026 của Ủy ban nhân dân tỉnh; nhà trường đề nghị Sở sớm có ý kiến về các vướng mắc còn lại. Đồng thời, nhà trường đang rà soát nhà, đất tại 5 cơ sở (khoảng 31,3 ha) và đề nghị ưu tiên đưa vào kế hoạch đầu tư công trung hạn việc cải tạo 4 khu ký túc xá đã xuống cấp trầm trọng; tiếp tục thực hiện đầy đủ, kịp thời chế độ, chính sách đối với người học và bảo đảm an toàn thực phẩm tại nhà ăn, ký túc xá.</w:t>
      </w:r>
    </w:p>
    <w:p w14:paraId="65627FBB" w14:textId="7BFAF3E8" w:rsidR="00C3669C" w:rsidRDefault="003C53DC" w:rsidP="00D70149">
      <w:pPr>
        <w:keepNext/>
        <w:widowControl w:val="0"/>
        <w:spacing w:before="120" w:after="120" w:line="348" w:lineRule="auto"/>
        <w:ind w:firstLine="0"/>
        <w:jc w:val="left"/>
        <w:rPr>
          <w:rFonts w:eastAsia="MS Mincho"/>
          <w:sz w:val="28"/>
          <w:szCs w:val="28"/>
          <w:lang w:eastAsia="ja-JP"/>
        </w:rPr>
      </w:pPr>
      <w:r>
        <w:rPr>
          <w:b/>
          <w:rFonts w:eastAsia="MS Mincho"/>
          <w:sz w:val="28"/>
          <w:szCs w:val="28"/>
          <w:lang w:eastAsia="ja-JP"/>
        </w:rPr>
        <w:t xml:space="preserve">II. ĐỐI VỚI QUY ĐỊNH SỐ 224-QĐ/TW</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Quy định có hiệu lực từ ngày ký (14/10/2026), thay thế Quy định số 15-QĐ/TW ngày 28/8/2006; đảng viên đã tham gia hoạt động đầu tư kinh doanh hợp pháp trước ngày Quy định có hiệu lực được tiếp tục thực hiện (Điều 14). Nhà trường là đơn vị sự nghiệp công lập, thuộc khu vực công (Điều 3), nên đảng viên là viên chức của nhà trường thuộc đối tượng quy định tại Điều 8; viên chức giữ chức vụ quản lý còn chịu giới hạn tại khoản 3 Điều 8. Nhà trường đề xuất như sau.</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1. Ban hành hướng dẫn thống nhất trong tỉnh. </w:t>
      </w:r>
      <w:r>
        <w:rPr>
          <w:rFonts w:eastAsia="MS Mincho"/>
          <w:sz w:val="28"/>
          <w:szCs w:val="28"/>
          <w:lang w:eastAsia="ja-JP"/>
        </w:rPr>
        <w:t xml:space="preserve">Quy định giao Ban Bí thư hướng dẫn thực hiện (khoản 1 Điều 13) và giao Ban Chính sách, chiến lược Trung ương đề xuất tiêu chí vị trí, lĩnh vực có nguy cơ cao phát sinh xung đột lợi ích (khoản 2 Điều 13). Nhà trường đề nghị tỉnh ban hành Kế hoạch triển khai và Hướng dẫn thực hiện ngay sau khi có hướng dẫn của Ban Bí thư, trong đó làm rõ (a) tiêu chí xác định vị trí, lĩnh vực có nguy cơ cao trong đơn vị sự nghiệp công lập; nhà trường kiến nghị xem xét các vị trí quyết định hoặc tham mưu về mua sắm, đầu tư xây dựng, quản lý tài chính - tài sản; tuyển sinh, xét tốt nghiệp, cấp văn bằng, chứng chỉ; đào tạo lái xe và đăng kiểm; liên kết đào tạo, đặt hàng đào tạo với doanh nghiệp; (b) thẩm quyền chấp thuận theo phân cấp quản lý cán bộ đối với từng nhóm viên chức (khoản 5 Điều 2), kèm trình tự, hồ sơ, thời hạn trả lời; (c) chế độ, quan hệ công tác, việc tiếp nhận trở lại đối với viên chức không giữ chức vụ quản lý tạm thời rời vị trí công tác (điểm b khoản 2 Điều 8); (d) mối quan hệ giữa chấp thuận trong nội bộ Đảng với điều kiện, thủ tục theo pháp luật về viên chức, phòng, chống tham nhũng, doanh nghiệp, vì chấp thuận theo Quy định không thay thế thủ tục của pháp luật.</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2. Kiểm soát xung đột lợi ích trong hoạt động của nhà trường. </w:t>
      </w:r>
      <w:r>
        <w:rPr>
          <w:rFonts w:eastAsia="MS Mincho"/>
          <w:sz w:val="28"/>
          <w:szCs w:val="28"/>
          <w:lang w:eastAsia="ja-JP"/>
        </w:rPr>
        <w:t xml:space="preserve">Đề án thành lập Trung tâm Đăng kiểm xe cơ giới dự kiến có không quá 02 người có nguồn gốc viên chức tham gia Lãnh đạo, Kiểm soát viên của công ty thông qua việc cử làm người đại diện phần vốn của nhà trường. Trường hợp này thuộc ngoại lệ tại điểm b khoản 3 Điều 8 (được cử tham gia quản lý hoặc làm đại diện phần vốn, tài sản của đơn vị theo quy định của pháp luật); đồng thời, theo khoản 4 Điều 2, lãnh đạo, viên chức có thẩm quyền quyết định về Đề án không được đầu tư cá nhân vào công ty.Nhà trường đề nghị hướng dẫn trình tự cử người đại diện phần vốn phù hợp với quy định của pháp luật và ý kiến của Sở Nội vụ; đồng thời cam kết lựa chọn nhà đầu tư công khai, minh bạch, yêu cầu kê khai quan hệ lợi ích. Đối với các hoạt động mua sắm, liên kết đào tạo, đặt hàng đào tạo, nhà trường áp dụng nguyên tắc báo cáo kịp thời và không tham gia xử lý công việc có xung đột lợi ích chưa được kiểm soát (khoản 2 Điều 12).</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3. Tổ chức thực hiện tại nhà trường. </w:t>
      </w:r>
      <w:r>
        <w:rPr>
          <w:rFonts w:eastAsia="MS Mincho"/>
          <w:sz w:val="28"/>
          <w:szCs w:val="28"/>
          <w:lang w:eastAsia="ja-JP"/>
        </w:rPr>
        <w:t xml:space="preserve">Đảng ủy Trường chủ trì quán triệt Quy định trong tháng 10/2026. Phòng Tổ chức cán bộ và Công tác học sinh, sinh viên chủ trì, phối hợp Phòng Tổng hợp - Hành chính và Quản trị rà soát, thống kê đảng viên là viên chức đang tham gia hoạt động đầu tư kinh doanh và xác định sơ bộ vị trí có nguy cơ cao trong quý IV năm 2026; sửa đổi, bổ sung quy chế, quy định nội bộ liên quan trong 30 ngày kể từ khi có hướng dẫn của cấp có thẩm quyền. Nhà trường cũng xây dựng quy định nội bộ về khai thác, thương mại hóa kết quả nghiên cứu, sở hữu trí tuệ, khởi nghiệp (Điều 3, điểm a khoản 1 Điều 8) và mở rộng mời doanh nhân tiêu biểu tham gia giảng dạy, thẩm định chương trình đào tạo (khoản 3 Điều 5) kèm kiểm soát xung đột lợi ích.</w:t>
      </w:r>
    </w:p>
    <w:p w14:paraId="65627FBB" w14:textId="7BFAF3E8" w:rsidR="00C3669C" w:rsidRDefault="003C53DC" w:rsidP="00D70149">
      <w:pPr>
        <w:keepNext/>
        <w:widowControl w:val="0"/>
        <w:spacing w:before="120" w:after="120" w:line="348" w:lineRule="auto"/>
        <w:ind w:firstLine="0"/>
        <w:jc w:val="left"/>
        <w:rPr>
          <w:rFonts w:eastAsia="MS Mincho"/>
          <w:sz w:val="28"/>
          <w:szCs w:val="28"/>
          <w:lang w:eastAsia="ja-JP"/>
        </w:rPr>
      </w:pPr>
      <w:r>
        <w:rPr>
          <w:b/>
          <w:rFonts w:eastAsia="MS Mincho"/>
          <w:sz w:val="28"/>
          <w:szCs w:val="28"/>
          <w:lang w:eastAsia="ja-JP"/>
        </w:rPr>
        <w:t xml:space="preserve">III. KIẾN NGHỊ</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Nhà trường đề nghị Sở Tài chính tổng hợp các đề xuất nêu trên, nghiên cứu để tham mưu Ủy ban nhân dân tỉnh nội dung, thể loại văn bản và thẩm quyền ban hành phù hợp (đề xuất Kế hoạch triển khai Kết luận số 106-KL/TW; Kế hoạch triển khai và Hướng dẫn thực hiện Quy định số 224-QĐ/TW).</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Trường Cao đẳng Kon Tum kính đề nghị Quý Sở xem xét, tổng hợp./.</w:t>
      </w:r>
    </w:p>
    <w:tbl>
      <w:tblPr>
        <w:tblW w:w="9295" w:type="dxa"/>
        <w:jc w:val="center"/>
        <w:tblLook w:val="01E0" w:firstRow="1" w:lastRow="1" w:firstColumn="1" w:lastColumn="1" w:noHBand="0" w:noVBand="0"/>
      </w:tblPr>
      <w:tblGrid>
        <w:gridCol w:w="4820"/>
        <w:gridCol w:w="4475"/>
      </w:tblGrid>
      <w:tr w:rsidR="00C3669C" w:rsidRPr="00C008A4" w14:paraId="20056ECB" w14:textId="77777777" w:rsidTr="00673B83">
        <w:trPr>
          <w:trHeight w:val="426"/>
          <w:jc w:val="center"/>
          <w:cantSplit/>
        </w:trPr>
        <w:tc>
          <w:tcPr>
            <w:tcW w:w="4820" w:type="dxa"/>
          </w:tcPr>
          <w:p w14:paraId="2ED579DD" w14:textId="77777777" w:rsidR="00C3669C" w:rsidRPr="00C008A4" w:rsidRDefault="00C3669C" w:rsidP="00673B83">
            <w:pPr>
              <w:rPr>
                <w:b/>
                <w:i/>
                <w:lang w:val="de-DE"/>
              </w:rPr>
            </w:pPr>
            <w:r w:rsidRPr="00C008A4">
              <w:rPr>
                <w:b/>
                <w:i/>
                <w:lang w:val="de-DE"/>
              </w:rPr>
              <w:t>Nơi nhận:</w:t>
            </w:r>
          </w:p>
          <w:p w14:paraId="4EB0DB4B" w14:textId="77777777" w:rsidR="00C3669C" w:rsidRDefault="00C3669C" w:rsidP="00673B83">
            <w:pPr>
              <w:rPr>
                <w:sz w:val="22"/>
                <w:szCs w:val="22"/>
                <w:lang w:val="de-DE"/>
              </w:rPr>
            </w:pPr>
            <w:r w:rsidRPr="00C008A4">
              <w:rPr>
                <w:sz w:val="22"/>
                <w:szCs w:val="22"/>
                <w:lang w:val="de-DE"/>
              </w:rPr>
              <w:t>- Như trên;</w:t>
            </w:r>
          </w:p>
          <w:p w14:paraId="71D9A376" w14:textId="77777777" w:rsidR="00C3669C" w:rsidRPr="00C008A4" w:rsidRDefault="00C3669C" w:rsidP="00673B83">
            <w:pPr>
              <w:rPr>
                <w:sz w:val="22"/>
                <w:szCs w:val="22"/>
                <w:lang w:val="de-DE"/>
              </w:rPr>
            </w:pPr>
            <w:r w:rsidRPr="00C008A4">
              <w:rPr>
                <w:sz w:val="22"/>
                <w:szCs w:val="22"/>
                <w:lang w:val="de-DE"/>
              </w:rPr>
              <w:t>- Đảng ủy Trường;</w:t>
            </w:r>
          </w:p>
          <w:p w14:paraId="4560D031" w14:textId="77777777" w:rsidR="00C3669C" w:rsidRPr="00C008A4" w:rsidRDefault="00C3669C" w:rsidP="00673B83">
            <w:pPr>
              <w:rPr>
                <w:sz w:val="22"/>
                <w:szCs w:val="22"/>
                <w:lang w:val="de-DE"/>
              </w:rPr>
            </w:pPr>
            <w:r w:rsidRPr="00C008A4">
              <w:rPr>
                <w:sz w:val="22"/>
                <w:szCs w:val="22"/>
                <w:lang w:val="de-DE"/>
              </w:rPr>
              <w:t>- Lãnh đạo Trường;</w:t>
            </w:r>
          </w:p>
          <w:p w14:paraId="2E1FB80D" w14:textId="77777777" w:rsidR="00C3669C" w:rsidRPr="00C008A4" w:rsidRDefault="00C3669C" w:rsidP="00673B83">
            <w:pPr>
              <w:rPr>
                <w:sz w:val="28"/>
                <w:szCs w:val="28"/>
              </w:rPr>
            </w:pPr>
            <w:r w:rsidRPr="00C008A4">
              <w:rPr>
                <w:sz w:val="22"/>
                <w:szCs w:val="22"/>
              </w:rPr>
              <w:t>- Phòng TCCB&amp;CTHSSV;</w:t>
            </w:r>
          </w:p>
          <w:p w14:paraId="2E1FB80D" w14:textId="77777777" w:rsidR="00C3669C" w:rsidRPr="00C008A4" w:rsidRDefault="00C3669C" w:rsidP="00673B83">
            <w:pPr>
              <w:rPr>
                <w:sz w:val="28"/>
                <w:szCs w:val="28"/>
              </w:rPr>
            </w:pPr>
            <w:r w:rsidRPr="00C008A4">
              <w:rPr>
                <w:sz w:val="22"/>
                <w:szCs w:val="22"/>
              </w:rPr>
              <w:t>- Lưu: VT, THHCQT.</w:t>
            </w:r>
          </w:p>
        </w:tc>
        <w:tc>
          <w:tcPr>
            <w:tcW w:w="4475" w:type="dxa"/>
          </w:tcPr>
          <w:p w14:paraId="11E492CF" w14:textId="77777777" w:rsidR="00C3669C" w:rsidRPr="00C008A4" w:rsidRDefault="00C3669C" w:rsidP="00673B83">
            <w:pPr>
              <w:jc w:val="center"/>
              <w:rPr>
                <w:b/>
                <w:sz w:val="28"/>
                <w:szCs w:val="28"/>
              </w:rPr>
            </w:pPr>
            <w:r w:rsidRPr="00C008A4">
              <w:rPr>
                <w:b/>
                <w:sz w:val="28"/>
                <w:szCs w:val="28"/>
              </w:rPr>
              <w:t>HIỆU TRƯỞNG</w:t>
            </w:r>
          </w:p>
          <w:p w14:paraId="08E0B8A3" w14:textId="77777777" w:rsidR="00C3669C" w:rsidRPr="00C008A4" w:rsidRDefault="00C3669C" w:rsidP="00673B83">
            <w:pPr>
              <w:jc w:val="center"/>
              <w:rPr>
                <w:b/>
                <w:sz w:val="28"/>
                <w:szCs w:val="28"/>
              </w:rPr>
            </w:pPr>
          </w:p>
          <w:p w14:paraId="301809DA" w14:textId="77777777" w:rsidR="00C3669C" w:rsidRPr="00C008A4" w:rsidRDefault="00C3669C" w:rsidP="00673B83">
            <w:pPr>
              <w:jc w:val="center"/>
              <w:rPr>
                <w:b/>
                <w:sz w:val="28"/>
                <w:szCs w:val="28"/>
              </w:rPr>
            </w:pPr>
          </w:p>
          <w:p w14:paraId="714D35CE" w14:textId="77777777" w:rsidR="00C3669C" w:rsidRPr="00C008A4" w:rsidRDefault="00C3669C" w:rsidP="00673B83">
            <w:pPr>
              <w:jc w:val="center"/>
              <w:rPr>
                <w:b/>
                <w:sz w:val="28"/>
                <w:szCs w:val="28"/>
              </w:rPr>
            </w:pPr>
          </w:p>
          <w:p w14:paraId="3A161D7E" w14:textId="77777777" w:rsidR="00C3669C" w:rsidRPr="00C008A4" w:rsidRDefault="00C3669C" w:rsidP="00673B83">
            <w:pPr>
              <w:jc w:val="center"/>
              <w:rPr>
                <w:b/>
                <w:sz w:val="28"/>
                <w:szCs w:val="28"/>
              </w:rPr>
            </w:pPr>
          </w:p>
          <w:p w14:paraId="7D7635C6" w14:textId="77777777" w:rsidR="00C3669C" w:rsidRDefault="00C3669C" w:rsidP="00673B83">
            <w:pPr>
              <w:jc w:val="center"/>
              <w:rPr>
                <w:b/>
                <w:sz w:val="28"/>
                <w:szCs w:val="28"/>
              </w:rPr>
            </w:pPr>
          </w:p>
          <w:p w14:paraId="62FD05DB" w14:textId="77777777" w:rsidR="00B40B46" w:rsidRPr="00C008A4" w:rsidRDefault="00B40B46" w:rsidP="00673B83">
            <w:pPr>
              <w:jc w:val="center"/>
              <w:rPr>
                <w:b/>
                <w:sz w:val="28"/>
                <w:szCs w:val="28"/>
              </w:rPr>
            </w:pPr>
          </w:p>
          <w:p w14:paraId="3AF9E650" w14:textId="77777777" w:rsidR="00C3669C" w:rsidRPr="00C008A4" w:rsidRDefault="00C3669C" w:rsidP="00673B83">
            <w:pPr>
              <w:jc w:val="center"/>
              <w:rPr>
                <w:b/>
                <w:sz w:val="28"/>
                <w:szCs w:val="28"/>
              </w:rPr>
            </w:pPr>
            <w:r w:rsidRPr="00C008A4">
              <w:rPr>
                <w:b/>
                <w:sz w:val="28"/>
                <w:szCs w:val="28"/>
              </w:rPr>
              <w:t>Lê Trí Khải</w:t>
            </w:r>
          </w:p>
        </w:tc>
      </w:tr>
    </w:tbl>
    <w:p w14:paraId="0B783286" w14:textId="77777777" w:rsidR="00C3669C" w:rsidRPr="00C008A4" w:rsidRDefault="00C3669C" w:rsidP="00C3669C">
      <w:pPr>
        <w:rPr>
          <w:sz w:val="4"/>
        </w:rPr>
      </w:pPr>
    </w:p>
    <w:p w14:paraId="3CE67A77" w14:textId="77777777" w:rsidR="0016722E" w:rsidRPr="00C008A4" w:rsidRDefault="0016722E" w:rsidP="00C3669C"/>
    <w:sectPr w:rsidR="0016722E" w:rsidRPr="00C008A4" w:rsidSect="00C3669C">
      <w:headerReference w:type="even" r:id="rId8"/>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5FBD" w14:textId="77777777" w:rsidR="00290DD4" w:rsidRDefault="00290DD4">
      <w:r>
        <w:separator/>
      </w:r>
    </w:p>
  </w:endnote>
  <w:endnote w:type="continuationSeparator" w:id="0">
    <w:p w14:paraId="1FE5DEB3" w14:textId="77777777" w:rsidR="00290DD4" w:rsidRDefault="0029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A3"/>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5724" w14:textId="77777777" w:rsidR="00290DD4" w:rsidRDefault="00290DD4">
      <w:r>
        <w:separator/>
      </w:r>
    </w:p>
  </w:footnote>
  <w:footnote w:type="continuationSeparator" w:id="0">
    <w:p w14:paraId="63025751" w14:textId="77777777" w:rsidR="00290DD4" w:rsidRDefault="0029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0339"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9953FB"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41509"/>
      <w:docPartObj>
        <w:docPartGallery w:val="Page Numbers (Top of Page)"/>
        <w:docPartUnique/>
      </w:docPartObj>
    </w:sdtPr>
    <w:sdtEndPr>
      <w:rPr>
        <w:noProof/>
      </w:rPr>
    </w:sdtEndPr>
    <w:sdtContent>
      <w:p w14:paraId="0FF2610B" w14:textId="52BACDF3"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938"/>
    <w:rsid w:val="004328B9"/>
    <w:rsid w:val="004340F0"/>
    <w:rsid w:val="00436E5E"/>
    <w:rsid w:val="00446BFF"/>
    <w:rsid w:val="00450449"/>
    <w:rsid w:val="0045048E"/>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5944"/>
    <w:rsid w:val="007E6E0C"/>
    <w:rsid w:val="007E7BE3"/>
    <w:rsid w:val="007F0FE9"/>
    <w:rsid w:val="007F15A5"/>
    <w:rsid w:val="007F208C"/>
    <w:rsid w:val="00803016"/>
    <w:rsid w:val="008031E4"/>
    <w:rsid w:val="00804945"/>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56D3A"/>
    <w:rsid w:val="00C60B90"/>
    <w:rsid w:val="00C61E77"/>
    <w:rsid w:val="00C67131"/>
    <w:rsid w:val="00C82C65"/>
    <w:rsid w:val="00C8477F"/>
    <w:rsid w:val="00CA2BE2"/>
    <w:rsid w:val="00CA3F5A"/>
    <w:rsid w:val="00CA5D0A"/>
    <w:rsid w:val="00CB7B86"/>
    <w:rsid w:val="00CC46AF"/>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6AFE"/>
    <w:rsid w:val="00D77EB8"/>
    <w:rsid w:val="00D85C28"/>
    <w:rsid w:val="00D8717F"/>
    <w:rsid w:val="00D924D9"/>
    <w:rsid w:val="00D947A0"/>
    <w:rsid w:val="00D9586A"/>
    <w:rsid w:val="00DA096A"/>
    <w:rsid w:val="00DA1863"/>
    <w:rsid w:val="00DA3441"/>
    <w:rsid w:val="00DC1081"/>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4D75"/>
    <w:rsid w:val="00E76487"/>
    <w:rsid w:val="00E81730"/>
    <w:rsid w:val="00E8272B"/>
    <w:rsid w:val="00E970E7"/>
    <w:rsid w:val="00EA114C"/>
    <w:rsid w:val="00EA66FA"/>
    <w:rsid w:val="00EB35FD"/>
    <w:rsid w:val="00EB43B3"/>
    <w:rsid w:val="00EB4BB2"/>
    <w:rsid w:val="00EB770C"/>
    <w:rsid w:val="00ED2E6F"/>
    <w:rsid w:val="00EE0397"/>
    <w:rsid w:val="00EE1950"/>
    <w:rsid w:val="00EE731F"/>
    <w:rsid w:val="00EF39AF"/>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2DC7F"/>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94</cp:revision>
  <dcterms:created xsi:type="dcterms:W3CDTF">2025-07-18T07:37:00Z</dcterms:created>
  <dcterms:modified xsi:type="dcterms:W3CDTF">2026-08-03T08:34:00Z</dcterms:modified>
</cp:coreProperties>
</file>