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Bộ 06 dự thảo văn bản của Đảng ủy UBND tỉnh về ứng dụng trí tuệ nhân tạo</w:t>
      </w:r>
    </w:p>
    <w:p>
      <w:pPr>
        <w:jc w:val="center"/>
      </w:pPr>
      <w:r>
        <w:rPr>
          <w:rFonts w:ascii="Times New Roman" w:hAnsi="Times New Roman"/>
          <w:b w:val="0"/>
          <w:i w:val="0"/>
          <w:sz w:val="26"/>
        </w:rPr>
        <w:t xml:space="preserve">Ngày rà soát: </w:t>
      </w:r>
      <w:r>
        <w:rPr>
          <w:rFonts w:ascii="Times New Roman" w:hAnsi="Times New Roman"/>
          <w:b/>
          <w:i w:val="0"/>
          <w:sz w:val="26"/>
        </w:rPr>
        <w:t>21/10/2026</w:t>
      </w:r>
      <w:r>
        <w:rPr>
          <w:rFonts w:ascii="Times New Roman" w:hAnsi="Times New Roman"/>
          <w:b w:val="0"/>
          <w:i w:val="0"/>
          <w:sz w:val="26"/>
        </w:rPr>
        <w:t xml:space="preserve">  |  Đơn vị soạn thảo: </w:t>
      </w:r>
      <w:r>
        <w:rPr>
          <w:rFonts w:ascii="Times New Roman" w:hAnsi="Times New Roman"/>
          <w:b/>
          <w:i w:val="0"/>
          <w:sz w:val="26"/>
        </w:rPr>
        <w:t>Văn phòng Đảng ủy UBND tỉnh (Trường Cao đẳng Kon Tum hỗ trợ soạn thảo)</w:t>
      </w:r>
      <w:r>
        <w:rPr>
          <w:rFonts w:ascii="Times New Roman" w:hAnsi="Times New Roman"/>
          <w:b w:val="0"/>
          <w:i w:val="0"/>
          <w:sz w:val="26"/>
        </w:rPr>
        <w:t xml:space="preserve">  |  Thẩm quyền: </w:t>
      </w:r>
      <w:r>
        <w:rPr>
          <w:rFonts w:ascii="Times New Roman" w:hAnsi="Times New Roman"/>
          <w:b/>
          <w:i w:val="0"/>
          <w:sz w:val="26"/>
        </w:rPr>
        <w:t>Ban Thường vụ Đảng ủy UBND tỉnh; Chánh Văn phòng Đảng ủy (Tờ trình)</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B — văn bản của Đảng (HD 05-HD/VPTW, Quy định 399-QĐ/TW). Không áp NĐ 30, TB 597.</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Văn bản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 Tờ trình (-TTr/VPĐU); 02 Kế hoạch (-KH/ĐU); 03 Quy định (-QĐ/ĐU); 04 Quyết định thành lập Tổ giúp việc; 05 Báo cáo kết quả làm việc (-BC/ĐU); 06 Quyết định thành lập Ban Chỉ đạo (dự phòng).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Đảng ủy Ủy ban nhân dân tỉnh (cấp trên trực tiếp: Đảng bộ tỉnh Quảng Ngãi); Văn phòng Đảng ủy (Tờ trình).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HD 05-HD/VPTW ngày 27/5/2026 (Phụ lục 2), Quy định số 399-QĐ/TW ngày 09/01/2026 qua Skill 29 và Phụ lục 2 của KTC-Ra-Soat-897; kho KTC-Database 01 (Luật Bảo vệ bí mật nhà nước, Luật Bảo vệ dữ liệu cá nhân, Luật Trí tuệ nhân tạo năm 2025); CV 2868-CV/ĐU ngày 09/10/2026; ghi chép buổi làm việc 17/10/2026; đo thể thức bằng kiem_the_thuc.py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chỉ hỗ trợ soạn thảo; nội dung nghiệp vụ, thẩm quyền, nhân sự do Văn phòng Đảng ủy quyết định.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21/10/2026</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216"/>
        <w:gridCol w:w="3175"/>
        <w:gridCol w:w="1757"/>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216"/>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17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75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ký Tờ trình (01)</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"KT. CHÁNH VĂN PHÒNG" theo kiểu văn bản hành chính.</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"K/T CHÁNH VĂN PHÒNG".</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HD 05, Skill 29 mục 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Từ "Kính gửi" trong Tờ trình (01)</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Tờ trình của Đảng dùng "Kính trình"; nơi nhận thiếu "Như trên".</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"Kính trình:" (nghiêng) + tên cơ quan (đứng); nơi nhận "- Như trên;".</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29 mục 8; PL2 mục 9a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Ký hiệu Quy định (03)</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"-QĐi/ĐU" theo kiểu văn bản quy phạm pháp luật.</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"-QĐ/ĐU" (dùng chung cho quyết định, quy định).</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29 mục 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ban hành (03, 04, 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cuối kết thúc bằng dấu phẩy.</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Căn cứ cuối kết thúc bằng dấu chấm.</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luật (03)</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ghi không có năm; viện dẫn Luật An ninh mạng chưa xác minh trong kho.</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"Luật … năm 2025" cho 3 luật có trong kho 01; bỏ Luật An ninh mạng.</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Phông chữ (01–06)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Đoạn sau "Điều N." mang phông VnTimes; tên phông biến thể "Times New Roman Bold".</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Chuẩn hóa Times New Roman.</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(phông TNR)</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Danh sách nơi nhận (01–06)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Mỗi dòng kết thúc bằng dấu phẩy.</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Mỗi dòng ";", dòng cuối ".".</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9d</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Từ "Nơi nhận" (01–06)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In đậm, không gạch chân; danh sách cỡ 14.</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Cỡ 14 đứng, gạch chân; danh sách cỡ 12.</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9c, 9d</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Chức vụ người ký (01–06)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Chức vụ in hoa đậm.</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In hoa, không đậm; chỉ quyền hạn ký (T/M, K/T) đậm.</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7a, 7b</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Kỹ thuật trình bày (01–06)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Thụt đầu dòng 1,27 cm; cách dòng theo văn bản nền.</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Thụt 10 mm; cách dòng 18 pt Exactly; cách đoạn 6 pt.</w:t>
            </w:r>
          </w:p>
          <w:p>
            <w:pPr>
              <w:spacing w:after="0" w:before="80" w:line="240" w:lineRule="auto"/>
              <w:jc w:val="both"/>
            </w:pPr>
            <w:r>
              <w:rPr>
                <w:rFonts w:ascii="Times New Roman" w:hAnsi="Times New Roman"/>
                <w:b w:val="0"/>
                <w:i w:val="0"/>
                <w:color w:val="FF0000"/>
                <w:sz w:val="26"/>
              </w:rPr>
              <w:t>Phản hồi: Đã sửa.</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Thẩm quyền đề ký (02–06)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"T/M BAN THƯỜNG VỤ – PHÓ BÍ THƯ"; chưa xác nhận Đảng ủy ban hành bằng Ban Thường vụ hay Ban Chấp hành.</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Văn phòng Đảng ủy xác nhận trước khi trình.</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399-QĐ/TW</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 nếu sai</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Nghị quyết 57-NQ/TW (02, 05, 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có trong KTC-Database; ghi theo hiểu biết.</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bản gốc số, ngày, trích yếu.</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 chế làm việc của Đảng ủy (03, 04, 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có số, ngày.</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số, ngày, khóa.</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PL2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cơ quan tham mưu (02–06)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"Ban Xây dựng Đảng" (bảng 21 nội dung) khác "Ban Tổ chức Đảng ủy" (ghi chép buổi làm việc).</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tên theo quyết định thành lập.</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29 mục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Nơi nhận Báo cáo (05)</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Gửi Thường trực Tỉnh ủy.</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Xác nhận Thường trực hay Ban Thường vụ Tỉnh ủy.</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399-QĐ/TW</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Con dấu Ban Chỉ đạo (06)</w:t>
            </w:r>
          </w:p>
        </w:tc>
        <w:tc>
          <w:tcPr>
            <w:tcW w:type="dxa" w:w="521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3 ghi Ban Chỉ đạo dùng con dấu của Đảng ủy.</w:t>
            </w:r>
          </w:p>
        </w:tc>
        <w:tc>
          <w:tcPr>
            <w:tcW w:type="dxa" w:w="317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quy chế; nếu dùng dấu Đảng ủy thì chức vụ người ký Ban Chỉ đạo ghi kèm tên Ban.</w:t>
            </w:r>
          </w:p>
          <w:p>
            <w:pPr>
              <w:spacing w:after="0" w:before="80" w:line="240" w:lineRule="auto"/>
              <w:jc w:val="both"/>
            </w:pPr>
            <w:r>
              <w:rPr>
                <w:rFonts w:ascii="Times New Roman" w:hAnsi="Times New Roman"/>
                <w:b w:val="0"/>
                <w:i w:val="0"/>
                <w:color w:val="FF0000"/>
                <w:sz w:val="26"/>
              </w:rPr>
              <w:t>Phản hồi: Chưa xác minh.</w:t>
            </w:r>
          </w:p>
        </w:tc>
        <w:tc>
          <w:tcPr>
            <w:tcW w:type="dxa" w:w="175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29 mục 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Tiêu đề "ĐẢNG CỘNG SẢN VIỆT NAM", tên cơ quan cấp trên trực tiếp và cơ quan ban hành, dấu sao (*): Đúng vị trí, đúng tên theo Công văn số 2868-CV/ĐU.</w:t>
      </w:r>
    </w:p>
    <w:p>
      <w:pPr>
        <w:spacing w:after="60" w:line="276" w:lineRule="auto"/>
        <w:jc w:val="both"/>
      </w:pPr>
      <w:r>
        <w:rPr>
          <w:rFonts w:ascii="Times New Roman" w:hAnsi="Times New Roman"/>
          <w:b w:val="0"/>
          <w:i w:val="0"/>
          <w:sz w:val="28"/>
        </w:rPr>
        <w:t>- Tên loại, trích yếu đặt giữa; có 05 dấu gạch nối dưới trích yếu; số trang không hiển thị ở trang đầu.</w:t>
      </w:r>
    </w:p>
    <w:p>
      <w:pPr>
        <w:spacing w:after="60" w:line="276" w:lineRule="auto"/>
        <w:jc w:val="both"/>
      </w:pPr>
      <w:r>
        <w:rPr>
          <w:rFonts w:ascii="Times New Roman" w:hAnsi="Times New Roman"/>
          <w:b w:val="0"/>
          <w:i w:val="0"/>
          <w:sz w:val="28"/>
        </w:rPr>
        <w:t>- Định lề: Trên 20 mm, dưới 20 mm, trái 30 mm, phải 15 mm.</w:t>
      </w:r>
    </w:p>
    <w:p>
      <w:pPr>
        <w:spacing w:after="60" w:line="276" w:lineRule="auto"/>
        <w:jc w:val="both"/>
      </w:pPr>
      <w:r>
        <w:rPr>
          <w:rFonts w:ascii="Times New Roman" w:hAnsi="Times New Roman"/>
          <w:b w:val="0"/>
          <w:i w:val="0"/>
          <w:sz w:val="28"/>
        </w:rPr>
        <w:t>- Căn cứ ban hành: Mỗi căn cứ một dòng, có gạch ngang đầu dòng.</w:t>
      </w:r>
    </w:p>
    <w:p>
      <w:pPr>
        <w:spacing w:after="60" w:line="276" w:lineRule="auto"/>
        <w:jc w:val="both"/>
      </w:pPr>
      <w:r>
        <w:rPr>
          <w:rFonts w:ascii="Times New Roman" w:hAnsi="Times New Roman"/>
          <w:b w:val="0"/>
          <w:i w:val="0"/>
          <w:sz w:val="28"/>
        </w:rPr>
        <w:t>- Thể loại văn bản trong thẩm quyền của Ban Thường vụ đảng ủy (Kế hoạch, Quy định, Quyết định, Báo cáo) và của cơ quan tham mưu (Tờ trình).</w:t>
      </w:r>
    </w:p>
    <w:p>
      <w:pPr>
        <w:spacing w:after="60" w:line="276" w:lineRule="auto"/>
        <w:jc w:val="both"/>
      </w:pPr>
      <w:r>
        <w:rPr>
          <w:rFonts w:ascii="Times New Roman" w:hAnsi="Times New Roman"/>
          <w:b w:val="0"/>
          <w:i w:val="0"/>
          <w:sz w:val="28"/>
        </w:rPr>
        <w:t>- Nội dung bảo mật thống nhất giữa 06 văn bản: Bí danh hóa dữ liệu cá nhân; cấm đưa văn bản mật, kể cả trích yếu, bản tóm tắt; không dùng tiện ích AI đọc trang trên phần mềm điều hành của Đảng khi chưa có văn bản cho phép.</w:t>
      </w:r>
    </w:p>
    <w:p>
      <w:pPr>
        <w:spacing w:after="60" w:line="276" w:lineRule="auto"/>
        <w:jc w:val="both"/>
      </w:pPr>
      <w:r>
        <w:rPr>
          <w:rFonts w:ascii="Times New Roman" w:hAnsi="Times New Roman"/>
          <w:b w:val="0"/>
          <w:i w:val="0"/>
          <w:sz w:val="28"/>
        </w:rPr>
        <w:t>- Số liệu 21 nội dung (13 / 07 / 01; 62% / 33% / 5%) thống nhất giữa Tờ trình, Kế hoạch và Báo cáo.</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567"/>
        <w:gridCol w:w="4536"/>
        <w:gridCol w:w="1701"/>
        <w:gridCol w:w="1701"/>
        <w:gridCol w:w="1701"/>
        <w:gridCol w:w="4252"/>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425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TRẠNG THÁI</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đề ký</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viện dẫn</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Kỹ thuật trình bày</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Văn phòng Đảng ủy xác minh</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(nếu sai)</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Tổng cộng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 đã sửa; 06 chờ xác minh</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val="0"/>
          <w:sz w:val="28"/>
        </w:rPr>
        <w:t>Không có nội dung cần thẩm định chuyên môn. Các quy tắc bảo vệ bí mật nhà nước trong Quy định (03) nên được cơ quan có thẩm quyền về bảo vệ bí mật nhà nước của tỉnh cho ý kiến trước khi ban hành.</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Bộ 06 dự thảo đầy đủ thành phần thể thức theo HD 05-HD/VPTW sau khi sửa; nội dung thống nhất, bám kết luận buổi làm việc ngày 17/10/2026 và Công văn số 2868-CV/ĐU. Đo bằng kiem_the_thuc.py: 0 lỗi Mức 1–2; gợi ý TT10 ("Nơi nhận" cỡ 12 nghiêng đậm) là quy tắc TB 597 cho văn bản hành chính, không áp cho văn bản Đảng.</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1. Đủ điều kiện gửi Văn phòng Đảng ủy UBND tỉnh xin ý kiến; chưa đủ điều kiện trình ký cho đến khi xác minh mục 11 Phần II (thẩm quyền đề ký).</w:t>
      </w:r>
    </w:p>
    <w:p>
      <w:pPr>
        <w:spacing w:after="60" w:line="276" w:lineRule="auto"/>
        <w:jc w:val="both"/>
      </w:pPr>
      <w:r>
        <w:rPr>
          <w:rFonts w:ascii="Times New Roman" w:hAnsi="Times New Roman"/>
          <w:b w:val="0"/>
          <w:i w:val="0"/>
          <w:sz w:val="28"/>
        </w:rPr>
        <w:t>2. Văn phòng Đảng ủy xác minh các mục 11–16 Phần II; điền số, ngày Quy chế làm việc và danh sách thành viên Tổ giúp việc, Ban Chỉ đạo.</w:t>
      </w:r>
    </w:p>
    <w:p>
      <w:pPr>
        <w:spacing w:after="60" w:line="276" w:lineRule="auto"/>
        <w:jc w:val="both"/>
      </w:pPr>
      <w:r>
        <w:rPr>
          <w:rFonts w:ascii="Times New Roman" w:hAnsi="Times New Roman"/>
          <w:b w:val="0"/>
          <w:i w:val="0"/>
          <w:sz w:val="28"/>
        </w:rPr>
        <w:t>3. Thường trực Đảng ủy chọn phương án: Chỉ thành lập Tổ giúp việc (04), hoặc Ban Chỉ đạo (06) kèm Tổ giúp việc.</w:t>
      </w:r>
    </w:p>
    <w:p>
      <w:pPr>
        <w:spacing w:before="200" w:after="80"/>
      </w:pPr>
      <w:r>
        <w:rPr>
          <w:rFonts w:ascii="Times New Roman" w:hAnsi="Times New Roman"/>
          <w:b/>
          <w:i w:val="0"/>
          <w:color w:val="7030A0"/>
          <w:sz w:val="28"/>
        </w:rPr>
        <w:t>PHẦN VIII. PHÂN TÍCH KHẢ THI VÀ RỦI RO</w:t>
      </w:r>
    </w:p>
    <w:p>
      <w:pPr>
        <w:spacing w:after="60" w:line="276" w:lineRule="auto"/>
        <w:jc w:val="both"/>
      </w:pPr>
      <w:r>
        <w:rPr>
          <w:rFonts w:ascii="Times New Roman" w:hAnsi="Times New Roman"/>
          <w:b w:val="0"/>
          <w:i/>
          <w:sz w:val="28"/>
        </w:rPr>
        <w:t>Các nhận định dưới đây mang tính tư vấn, dựa trên kinh nghiệm thực tiễn của Trường, không phải là lỗi vi phạm quy định.</w:t>
      </w:r>
    </w:p>
    <w:p>
      <w:pPr>
        <w:spacing w:after="60" w:line="276" w:lineRule="auto"/>
        <w:jc w:val="both"/>
      </w:pPr>
      <w:r>
        <w:rPr>
          <w:rFonts w:ascii="Times New Roman" w:hAnsi="Times New Roman"/>
          <w:b w:val="0"/>
          <w:i w:val="0"/>
          <w:sz w:val="28"/>
        </w:rPr>
        <w:t>- Khả thi cao: Theo dõi nhiệm vụ Tỉnh ủy giao, tổng hợp báo cáo, dự thảo thông báo kết luận (đã vận hành tại Trường).</w:t>
      </w:r>
    </w:p>
    <w:p>
      <w:pPr>
        <w:spacing w:after="60" w:line="276" w:lineRule="auto"/>
        <w:jc w:val="both"/>
      </w:pPr>
      <w:r>
        <w:rPr>
          <w:rFonts w:ascii="Times New Roman" w:hAnsi="Times New Roman"/>
          <w:b w:val="0"/>
          <w:i w:val="0"/>
          <w:sz w:val="28"/>
        </w:rPr>
        <w:t>- Rủi ro lớn nhất: Lộ bí mật nhà nước khi cán bộ đưa văn bản mật hoặc bản tóm tắt văn bản mật lên AI. Quy định (03) phải ban hành và tập huấn trước khi giao tài khoản.</w:t>
      </w:r>
    </w:p>
    <w:p>
      <w:pPr>
        <w:spacing w:after="60" w:line="276" w:lineRule="auto"/>
        <w:jc w:val="both"/>
      </w:pPr>
      <w:r>
        <w:rPr>
          <w:rFonts w:ascii="Times New Roman" w:hAnsi="Times New Roman"/>
          <w:b w:val="0"/>
          <w:i w:val="0"/>
          <w:sz w:val="28"/>
        </w:rPr>
        <w:t>- Điều kiện thành công: Thống nhất cách cập nhật tiến độ giữa các cơ quan; danh mục nhiệm vụ xuất từ phần mềm quản lý văn bản ra tệp, không nhập tay lại.</w:t>
      </w:r>
    </w:p>
    <w:p>
      <w:pPr>
        <w:spacing w:after="60" w:line="276" w:lineRule="auto"/>
        <w:jc w:val="both"/>
      </w:pPr>
      <w:r>
        <w:rPr>
          <w:rFonts w:ascii="Times New Roman" w:hAnsi="Times New Roman"/>
          <w:b w:val="0"/>
          <w:i w:val="0"/>
          <w:sz w:val="28"/>
        </w:rPr>
        <w:t>- Mốc thời gian giai đoạn 1 (tháng 12/2026) phụ thuộc thời điểm ban hành Quy định và cấp tài khoản.</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Đã đo lại 06 tệp sau khi sửa bằng kiem_the_thuc.py; đã xem bản PDF trang ký của Tờ trình. Báo cáo này chỉ có giá trị tham khảo, không thay trách nhiệm thẩm định thể thức của Chánh Văn phòng Đảng ủy.</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HD 05-HD/VPTW ngày 27/5/2026 (Phụ lục 2), Quy định số 399-QĐ/TW ngày 09/01/2026 qua Skill 29 và Phụ lục 2 của KTC-Ra-Soat-897; kho KTC-Database 01 (Luật Bảo vệ bí mật nhà nước, Luật Bảo vệ dữ liệu cá nhân, Luật Trí tuệ nhân tạo năm 2025); CV 2868-CV/ĐU ngày 09/10/2026; ghi chép buổi làm việc 17/10/2026; đo thể thức bằng kiem_the_thuc.py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KTC-Ra-Soat-897-v2-Cai-tien (v2.24, 21/10/2026). Phó Trưởng phòng TH-HC&amp;QT, Trường Cao đẳng Kon Tum (rà soát giúp Văn phòng Đảng ủy UBND tỉnh)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v2.24)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1716</Words>
  <Characters>6426</Characters>
  <Application>Microsoft Macintosh Word</Application>
  <DocSecurity>0</DocSecurity>
  <Lines>0</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