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ỦY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6098940C" w:rsidR="00197D5A" w:rsidRPr="000E47C0" w:rsidRDefault="00197D5A" w:rsidP="00197D5A">
      <w:pPr>
        <w:ind w:firstLine="0"/>
        <w:jc w:val="center"/>
        <w:rPr>
          <w:b/>
          <w:szCs w:val="28"/>
        </w:rPr>
      </w:pPr>
      <w:r w:rsidRPr="000E47C0">
        <w:rPr>
          <w:b/>
          <w:szCs w:val="28"/>
        </w:rPr>
        <w:t xml:space="preserve">Quảng Ngãi, tháng </w:t>
      </w:r>
      <w:r w:rsidR="00277A92">
        <w:rPr>
          <w:b/>
          <w:szCs w:val="28"/>
        </w:rPr>
        <w:t xml:space="preserve">10 </w:t>
      </w:r>
      <w:r w:rsidRPr="000E47C0">
        <w:rPr>
          <w:b/>
          <w:szCs w:val="28"/>
        </w:rPr>
        <w:t>năm 2026</w:t>
      </w:r>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F66D7CA"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517C75">
          <w:rPr>
            <w:noProof/>
            <w:webHidden/>
            <w:color w:val="auto"/>
          </w:rPr>
          <w:t>1</w:t>
        </w:r>
        <w:r w:rsidRPr="000E47C0">
          <w:rPr>
            <w:noProof/>
            <w:webHidden/>
            <w:color w:val="auto"/>
          </w:rPr>
          <w:fldChar w:fldCharType="end"/>
        </w:r>
      </w:hyperlink>
    </w:p>
    <w:p w14:paraId="27D6E793" w14:textId="677CAE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w:t>
        </w:r>
        <w:r w:rsidR="004E505E" w:rsidRPr="000E47C0">
          <w:rPr>
            <w:noProof/>
            <w:webHidden/>
            <w:color w:val="auto"/>
          </w:rPr>
          <w:fldChar w:fldCharType="end"/>
        </w:r>
      </w:hyperlink>
    </w:p>
    <w:p w14:paraId="7A7EB5D6" w14:textId="45D9F9D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w:t>
        </w:r>
        <w:r w:rsidR="004E505E" w:rsidRPr="000E47C0">
          <w:rPr>
            <w:noProof/>
            <w:webHidden/>
            <w:color w:val="auto"/>
          </w:rPr>
          <w:fldChar w:fldCharType="end"/>
        </w:r>
      </w:hyperlink>
    </w:p>
    <w:p w14:paraId="6A12BEDD" w14:textId="4EEE8DA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6</w:t>
        </w:r>
        <w:r w:rsidR="004E505E" w:rsidRPr="000E47C0">
          <w:rPr>
            <w:noProof/>
            <w:webHidden/>
            <w:color w:val="auto"/>
          </w:rPr>
          <w:fldChar w:fldCharType="end"/>
        </w:r>
      </w:hyperlink>
    </w:p>
    <w:p w14:paraId="6C310251" w14:textId="6B57DB6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2F32DC0E" w14:textId="4734E2A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4D30DE06" w14:textId="6B49A8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66C27D52" w14:textId="450EA18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4E4E9744" w14:textId="17C122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9</w:t>
        </w:r>
        <w:r w:rsidR="004E505E" w:rsidRPr="000E47C0">
          <w:rPr>
            <w:noProof/>
            <w:webHidden/>
            <w:color w:val="auto"/>
          </w:rPr>
          <w:fldChar w:fldCharType="end"/>
        </w:r>
      </w:hyperlink>
    </w:p>
    <w:p w14:paraId="380DFBCC" w14:textId="4927F68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11</w:t>
        </w:r>
        <w:r w:rsidR="004E505E" w:rsidRPr="000E47C0">
          <w:rPr>
            <w:noProof/>
            <w:webHidden/>
            <w:color w:val="auto"/>
          </w:rPr>
          <w:fldChar w:fldCharType="end"/>
        </w:r>
      </w:hyperlink>
    </w:p>
    <w:p w14:paraId="0B8190C3" w14:textId="491641E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049B3F8B" w14:textId="6E8F66E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52E15B89" w14:textId="33FCE37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2A817EC6" w14:textId="7A8A9C1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4E929E7" w14:textId="52F5EBE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3FF950B2" w14:textId="1E3B62F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5A9984F8" w14:textId="236626C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E8F02CC" w14:textId="6E3E0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14</w:t>
        </w:r>
        <w:r w:rsidR="004E505E" w:rsidRPr="000E47C0">
          <w:rPr>
            <w:noProof/>
            <w:webHidden/>
            <w:color w:val="auto"/>
          </w:rPr>
          <w:fldChar w:fldCharType="end"/>
        </w:r>
      </w:hyperlink>
    </w:p>
    <w:p w14:paraId="5F6B2ABE" w14:textId="34B280E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2D53A4AC" w14:textId="0341FB5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7CE138AA" w14:textId="314F983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6747DE52" w14:textId="14C2713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4B28E6B3" w14:textId="35DEDD1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7B2744FA" w14:textId="56EAEE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17</w:t>
        </w:r>
        <w:r w:rsidR="004E505E" w:rsidRPr="000E47C0">
          <w:rPr>
            <w:noProof/>
            <w:webHidden/>
            <w:color w:val="auto"/>
          </w:rPr>
          <w:fldChar w:fldCharType="end"/>
        </w:r>
      </w:hyperlink>
    </w:p>
    <w:p w14:paraId="2C8E36DD" w14:textId="0C739F3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18</w:t>
        </w:r>
        <w:r w:rsidR="004E505E" w:rsidRPr="000E47C0">
          <w:rPr>
            <w:noProof/>
            <w:webHidden/>
            <w:color w:val="auto"/>
          </w:rPr>
          <w:fldChar w:fldCharType="end"/>
        </w:r>
      </w:hyperlink>
    </w:p>
    <w:p w14:paraId="66DB827E" w14:textId="45EC84A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23</w:t>
        </w:r>
        <w:r w:rsidR="004E505E" w:rsidRPr="000E47C0">
          <w:rPr>
            <w:noProof/>
            <w:webHidden/>
            <w:color w:val="auto"/>
          </w:rPr>
          <w:fldChar w:fldCharType="end"/>
        </w:r>
      </w:hyperlink>
    </w:p>
    <w:p w14:paraId="0E29FD2F" w14:textId="03DC57C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BE2ACA4" w14:textId="7EF32F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4206151A" w14:textId="1F12AF6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E64544B" w14:textId="22A1DD5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25</w:t>
        </w:r>
        <w:r w:rsidR="004E505E" w:rsidRPr="000E47C0">
          <w:rPr>
            <w:noProof/>
            <w:webHidden/>
            <w:color w:val="auto"/>
          </w:rPr>
          <w:fldChar w:fldCharType="end"/>
        </w:r>
      </w:hyperlink>
    </w:p>
    <w:p w14:paraId="6A02B6E2" w14:textId="4128338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27</w:t>
        </w:r>
        <w:r w:rsidR="004E505E" w:rsidRPr="000E47C0">
          <w:rPr>
            <w:noProof/>
            <w:webHidden/>
            <w:color w:val="auto"/>
          </w:rPr>
          <w:fldChar w:fldCharType="end"/>
        </w:r>
      </w:hyperlink>
    </w:p>
    <w:p w14:paraId="052EDCD7" w14:textId="2837552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29</w:t>
        </w:r>
        <w:r w:rsidR="004E505E" w:rsidRPr="000E47C0">
          <w:rPr>
            <w:noProof/>
            <w:webHidden/>
            <w:color w:val="auto"/>
          </w:rPr>
          <w:fldChar w:fldCharType="end"/>
        </w:r>
      </w:hyperlink>
    </w:p>
    <w:p w14:paraId="71DAC452" w14:textId="18A4BA6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70AA8209" w14:textId="2A48B51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584B8409" w14:textId="6CFEAA7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64153558" w14:textId="086A1A4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1CAC5646" w14:textId="3F29228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1A768516" w14:textId="2FD55F5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4FDC65AC" w14:textId="033AFE8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33</w:t>
        </w:r>
        <w:r w:rsidR="004E505E" w:rsidRPr="000E47C0">
          <w:rPr>
            <w:noProof/>
            <w:webHidden/>
            <w:color w:val="auto"/>
          </w:rPr>
          <w:fldChar w:fldCharType="end"/>
        </w:r>
      </w:hyperlink>
    </w:p>
    <w:p w14:paraId="553558AA" w14:textId="225A85B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7A976226" w14:textId="3F2A53B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1C9D3754" w14:textId="2D14198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56605E2B" w14:textId="5B7E6C4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37</w:t>
        </w:r>
        <w:r w:rsidR="004E505E" w:rsidRPr="000E47C0">
          <w:rPr>
            <w:noProof/>
            <w:webHidden/>
            <w:color w:val="auto"/>
          </w:rPr>
          <w:fldChar w:fldCharType="end"/>
        </w:r>
      </w:hyperlink>
    </w:p>
    <w:p w14:paraId="4A096A7E" w14:textId="65D9D8D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66473990" w14:textId="5C136BF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557848B1" w14:textId="7B59E0F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0289800D" w14:textId="1D076CE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70022CB7" w14:textId="090F5F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41</w:t>
        </w:r>
        <w:r w:rsidR="004E505E" w:rsidRPr="000E47C0">
          <w:rPr>
            <w:noProof/>
            <w:webHidden/>
            <w:color w:val="auto"/>
          </w:rPr>
          <w:fldChar w:fldCharType="end"/>
        </w:r>
      </w:hyperlink>
    </w:p>
    <w:p w14:paraId="1E7A58F4" w14:textId="1D020EB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56B34568" w14:textId="72D31C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367A8C89" w14:textId="1BBCB54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66E30E0" w14:textId="0F89902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C55B155" w14:textId="1A927E2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1E80C6F3" w14:textId="13B951F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4D5D0D2D" w14:textId="5E6E14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05CF5A55" w14:textId="2CB3AA0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7EC92054" w14:textId="4F8AF75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04EA323A" w14:textId="6F6904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27958A5A" w14:textId="25D5E42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2EE969C6" w14:textId="4D1F68B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4B8BAAEB" w14:textId="0FA02D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48</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15. Nhu cầu thiết bị dây chuyền kiểm định tổng hợp giai đoạn 1</w:t>
      </w:r>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20. Bảng tính phương án tài chính 10 năm đầu hoạt động</w:t>
      </w:r>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r w:rsidRPr="000E47C0">
              <w:rPr>
                <w:b/>
                <w:sz w:val="26"/>
                <w:szCs w:val="26"/>
              </w:rPr>
              <w:t>CỘNG HÒA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Quảng Ngãi, ngày      tháng      năm 2026</w:t>
            </w:r>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0" w:name="_Toc236064009"/>
      <w:r w:rsidRPr="000E47C0">
        <w:rPr>
          <w:color w:val="auto"/>
        </w:rPr>
        <w:t>Phần I</w:t>
      </w:r>
      <w:bookmarkEnd w:id="0"/>
    </w:p>
    <w:p w14:paraId="5A024BEA" w14:textId="77777777" w:rsidR="00197D5A" w:rsidRPr="000E47C0" w:rsidRDefault="00197D5A" w:rsidP="00197D5A">
      <w:pPr>
        <w:pStyle w:val="Heading4"/>
        <w:rPr>
          <w:color w:val="auto"/>
        </w:rPr>
      </w:pPr>
      <w:bookmarkStart w:id="1" w:name="_Toc236064010"/>
      <w:r w:rsidRPr="000E47C0">
        <w:rPr>
          <w:color w:val="auto"/>
        </w:rPr>
        <w:t>SỰ CẦN THIẾT, CƠ SỞ XÂY DỰNG ĐỀ ÁN</w:t>
      </w:r>
      <w:bookmarkEnd w:id="1"/>
    </w:p>
    <w:p w14:paraId="6E73EDD9" w14:textId="77777777" w:rsidR="00197D5A" w:rsidRPr="000E47C0" w:rsidRDefault="00197D5A" w:rsidP="00197D5A">
      <w:pPr>
        <w:pStyle w:val="Heading1"/>
        <w:rPr>
          <w:color w:val="auto"/>
          <w:lang w:val="nl-BE"/>
        </w:rPr>
      </w:pPr>
      <w:bookmarkStart w:id="2" w:name="_Toc236064011"/>
      <w:r w:rsidRPr="000E47C0">
        <w:rPr>
          <w:color w:val="auto"/>
          <w:lang w:val="nl-BE"/>
        </w:rPr>
        <w:t>I. SỰ CẦN THIẾT</w:t>
      </w:r>
      <w:bookmarkEnd w:id="2"/>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3"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3"/>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4"/>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5" w:name="_Toc236064012"/>
      <w:r w:rsidRPr="000E47C0">
        <w:rPr>
          <w:color w:val="auto"/>
          <w:lang w:val="nl-NL"/>
        </w:rPr>
        <w:t>II. CƠ SỞ XÂY DỰNG ĐỀ ÁN</w:t>
      </w:r>
      <w:bookmarkEnd w:id="5"/>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A88322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Quy định số 224-QĐ/TW ngày 14 tháng 10 năm 2026 của Ban Chấp hành Trung ương về đảng viên tham gia hoạt động đầu tư kinh doanh;</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Doanh nghiệp ngày 17 tháng 6 năm 2020 (hợp nhất tại Văn bản hợp nhất số 67/VBHN-VPQH ngày 15 tháng 8 năm 2025);</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Đất đai ngày 18 tháng 01 năm 2024 (hợp nhất tại Văn bản hợp nhất số 44/VBHN-VPQH ngày 16 tháng 3 năm 2026);</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Luật Kế toán ngày 20 tháng 11 năm 2015 (hợp nhất tại Văn bản hợp nhất số 41/VBHN-VPQH ngày 16 tháng 3 năm 2026);</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65F90C1C" w14:textId="77777777"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6"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6"/>
      <w:r w:rsidRPr="000E47C0">
        <w:rPr>
          <w:color w:val="auto"/>
          <w:shd w:val="clear" w:color="auto" w:fill="FFFFFF"/>
          <w:lang w:val="vi-VN"/>
        </w:rPr>
        <w:t xml:space="preserve">; </w:t>
      </w:r>
      <w:bookmarkStart w:id="7"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 (hợp nhất tại Văn bản hợp nhất số 67/VBHN-VPQH ngày 15 tháng 8 năm 2025).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8" w:name="_Toc236064013"/>
      <w:bookmarkEnd w:id="7"/>
      <w:r w:rsidRPr="000E47C0">
        <w:rPr>
          <w:color w:val="auto"/>
          <w:lang w:val="nl-NL"/>
        </w:rPr>
        <w:t>III. CĂN CỨ THỰC TIỄN CỦA TRƯỜNG CAO ĐẲNG KON TUM</w:t>
      </w:r>
      <w:bookmarkEnd w:id="8"/>
    </w:p>
    <w:p w14:paraId="22627B24" w14:textId="77777777" w:rsidR="00197D5A" w:rsidRPr="000E47C0" w:rsidRDefault="00197D5A" w:rsidP="00197D5A">
      <w:pPr>
        <w:pStyle w:val="Heading2"/>
        <w:rPr>
          <w:rFonts w:eastAsiaTheme="minorHAnsi"/>
          <w:color w:val="auto"/>
          <w:lang w:val="de-DE"/>
        </w:rPr>
      </w:pPr>
      <w:bookmarkStart w:id="9" w:name="_Toc236064014"/>
      <w:r w:rsidRPr="000E47C0">
        <w:rPr>
          <w:color w:val="auto"/>
          <w:lang w:val="nl-NL"/>
        </w:rPr>
        <w:t xml:space="preserve">1. </w:t>
      </w:r>
      <w:r w:rsidRPr="000E47C0">
        <w:rPr>
          <w:rFonts w:eastAsiaTheme="minorHAnsi"/>
          <w:color w:val="auto"/>
          <w:lang w:val="de-DE"/>
        </w:rPr>
        <w:t>Tổ chức bộ máy</w:t>
      </w:r>
      <w:bookmarkEnd w:id="9"/>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58,42%),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10"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10"/>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11" w:name="_Toc236064016"/>
      <w:r w:rsidRPr="000E47C0">
        <w:rPr>
          <w:color w:val="auto"/>
          <w:lang w:val="nl-NL"/>
        </w:rPr>
        <w:t>3. Cơ sở vật chất, trang thiết bị</w:t>
      </w:r>
      <w:bookmarkEnd w:id="11"/>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12" w:name="_Toc236064017"/>
      <w:r w:rsidRPr="000E47C0">
        <w:rPr>
          <w:color w:val="auto"/>
          <w:lang w:val="nl-NL"/>
        </w:rPr>
        <w:t>4. Ngành, nghề đào tạo</w:t>
      </w:r>
      <w:bookmarkEnd w:id="12"/>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13"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13"/>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14" w:name="_Toc238544013"/>
      <w:r w:rsidRPr="000E47C0">
        <w:rPr>
          <w:color w:val="auto"/>
        </w:rPr>
        <w:t>Bảng 1. Kết quả tuyển sinh giai đoạn 2023-2025</w:t>
      </w:r>
      <w:bookmarkEnd w:id="1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15" w:name="_Toc238544014"/>
      <w:r w:rsidRPr="000E47C0">
        <w:rPr>
          <w:color w:val="auto"/>
        </w:rPr>
        <w:t>Bảng 2. Quy mô đào tạo giai đoạn 2023-2025</w:t>
      </w:r>
      <w:bookmarkEnd w:id="15"/>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16" w:name="_Hlk206948951"/>
            <w:r w:rsidRPr="000E47C0">
              <w:rPr>
                <w:b/>
                <w:bCs/>
                <w:szCs w:val="28"/>
              </w:rPr>
              <w:t>3.15</w:t>
            </w:r>
            <w:bookmarkEnd w:id="16"/>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17" w:name="_Hlk206948977"/>
            <w:r w:rsidRPr="000E47C0">
              <w:rPr>
                <w:szCs w:val="28"/>
              </w:rPr>
              <w:t>867</w:t>
            </w:r>
            <w:bookmarkEnd w:id="17"/>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18" w:name="_Hlk206948988"/>
            <w:r w:rsidRPr="000E47C0">
              <w:rPr>
                <w:szCs w:val="28"/>
              </w:rPr>
              <w:t>1.038</w:t>
            </w:r>
            <w:bookmarkEnd w:id="18"/>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19" w:name="_Toc238544015"/>
      <w:r w:rsidRPr="000E47C0">
        <w:rPr>
          <w:color w:val="auto"/>
        </w:rPr>
        <w:t>Bảng 3. Quy mô tốt nghiệp giai đoạn 2023-2025</w:t>
      </w:r>
      <w:bookmarkEnd w:id="19"/>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20"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20"/>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w:t>
      </w:r>
      <w:r w:rsidRPr="000E47C0">
        <w:rPr>
          <w:szCs w:val="28"/>
          <w:lang w:val="sv-SE"/>
        </w:rPr>
        <w:t xml:space="preserve">năm 2024 tổng thu: 20.245 triệu đồng, năm 2025 tổng thu: 31.764 triệu đồng</w:t>
      </w:r>
      <w:r w:rsidRPr="000E47C0">
        <w:rPr>
          <w:szCs w:val="28"/>
          <w:lang w:val="sv-SE"/>
        </w:rPr>
        <w:t xml:space="preserve">.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21" w:name="_Toc238544016"/>
      <w:r w:rsidRPr="000E47C0">
        <w:rPr>
          <w:color w:val="auto"/>
        </w:rPr>
        <w:t>Bảng 4. Kết quả thu, chi tài chính của Trường giai đoạn 2023-2025</w:t>
      </w:r>
      <w:bookmarkEnd w:id="21"/>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22" w:name="_Toc236064019"/>
      <w:r w:rsidRPr="000E47C0">
        <w:rPr>
          <w:color w:val="auto"/>
          <w:lang w:val="it-IT"/>
        </w:rPr>
        <w:t>6. Đánh giá chung</w:t>
      </w:r>
      <w:bookmarkEnd w:id="22"/>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23" w:name="_Toc236064020"/>
      <w:r w:rsidRPr="000E47C0">
        <w:rPr>
          <w:color w:val="auto"/>
          <w:lang w:val="it-IT"/>
        </w:rPr>
        <w:t>IV. THỰC TRẠNG CÁC ĐƠN VỊ ĐĂNG KIỂM XE CƠ GIỚI CỦA TỈNH QUẢNG NGÃI</w:t>
      </w:r>
      <w:bookmarkEnd w:id="23"/>
    </w:p>
    <w:p w14:paraId="02F2070F" w14:textId="77777777" w:rsidR="00197D5A" w:rsidRPr="000E47C0" w:rsidRDefault="00197D5A" w:rsidP="00197D5A">
      <w:pPr>
        <w:pStyle w:val="Heading2"/>
        <w:rPr>
          <w:color w:val="auto"/>
          <w:lang w:val="sv-SE"/>
        </w:rPr>
      </w:pPr>
      <w:bookmarkStart w:id="24" w:name="_Toc236064021"/>
      <w:r w:rsidRPr="000E47C0">
        <w:rPr>
          <w:color w:val="auto"/>
          <w:lang w:val="sv-SE"/>
        </w:rPr>
        <w:t>1. Thực trạng các đơn vị đăng kiểm XCG trên địa bàn tỉnh</w:t>
      </w:r>
      <w:bookmarkEnd w:id="24"/>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72F239D0" w14:textId="77777777" w:rsidR="00197D5A" w:rsidRPr="000E47C0" w:rsidRDefault="00197D5A" w:rsidP="00197D5A">
      <w:pPr>
        <w:rPr>
          <w:szCs w:val="28"/>
          <w:lang w:val="sv-SE"/>
        </w:rPr>
      </w:pPr>
      <w:r w:rsidRPr="000E47C0">
        <w:rPr>
          <w:szCs w:val="28"/>
          <w:lang w:val="sv-SE"/>
        </w:rPr>
        <w:t xml:space="preserve">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w:t>
      </w:r>
      <w:r w:rsidRPr="000E47C0">
        <w:rPr>
          <w:szCs w:val="28"/>
          <w:lang w:val="sv-SE"/>
        </w:rPr>
        <w:t xml:space="preserve"> Trên cơ sở đó, Đề án phân kỳ đầu tư: Giai đoạn 1 đầu tư 01 dây chuyền kiểm định tổng hợp; dây chuyền thứ hai chỉ đầu tư khi lưu lượng thực tế của dây chuyền giai đoạn 1 đạt từ 90% công suất thiết kế (khoảng 13.480 lượt/năm trên công suất thiết kế 14.976 lượt/năm) trong 2 năm liên tiếp.</w:t>
      </w:r>
    </w:p>
    <w:p w14:paraId="6EE86388" w14:textId="77777777" w:rsidR="00197D5A" w:rsidRPr="000E47C0" w:rsidRDefault="00197D5A" w:rsidP="00197D5A">
      <w:pPr>
        <w:pStyle w:val="Heading2"/>
        <w:rPr>
          <w:color w:val="auto"/>
          <w:lang w:val="sv-SE"/>
        </w:rPr>
      </w:pPr>
      <w:bookmarkStart w:id="27" w:name="_Toc236064022"/>
      <w:r w:rsidRPr="000E47C0">
        <w:rPr>
          <w:color w:val="auto"/>
          <w:lang w:val="sv-SE"/>
        </w:rPr>
        <w:t>2. Về quy mô phương tiện XCG và nhu cầu đăng kiểm khu vực phía Tây tỉnh Quảng Ngãi:</w:t>
      </w:r>
      <w:bookmarkEnd w:id="27"/>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28" w:name="_Toc236064023"/>
      <w:r w:rsidRPr="000E47C0">
        <w:rPr>
          <w:color w:val="auto"/>
        </w:rPr>
        <w:t>Phần II</w:t>
      </w:r>
      <w:bookmarkEnd w:id="28"/>
    </w:p>
    <w:p w14:paraId="628DE2F1" w14:textId="77777777" w:rsidR="00197D5A" w:rsidRPr="000E47C0" w:rsidRDefault="00197D5A" w:rsidP="00897C49">
      <w:pPr>
        <w:pStyle w:val="Heading4"/>
        <w:rPr>
          <w:color w:val="auto"/>
        </w:rPr>
      </w:pPr>
      <w:bookmarkStart w:id="29" w:name="_Toc236064024"/>
      <w:r w:rsidRPr="000E47C0">
        <w:rPr>
          <w:color w:val="auto"/>
        </w:rPr>
        <w:t>NỘI DUNG CỦA ĐỀ ÁN</w:t>
      </w:r>
      <w:bookmarkEnd w:id="29"/>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30" w:name="_Toc236064025"/>
      <w:r w:rsidRPr="000E47C0">
        <w:rPr>
          <w:color w:val="auto"/>
          <w:lang w:val="sv-SE"/>
        </w:rPr>
        <w:t>I. MỤC TIÊU, QUAN ĐIỂM XÂY DỰNG ĐỀ ÁN</w:t>
      </w:r>
      <w:bookmarkEnd w:id="30"/>
    </w:p>
    <w:p w14:paraId="2B1BCD07" w14:textId="77777777" w:rsidR="00197D5A" w:rsidRPr="000E47C0" w:rsidRDefault="00197D5A" w:rsidP="00197D5A">
      <w:pPr>
        <w:pStyle w:val="Heading2"/>
        <w:rPr>
          <w:color w:val="auto"/>
          <w:lang w:val="nl-NL"/>
        </w:rPr>
      </w:pPr>
      <w:bookmarkStart w:id="31" w:name="_Toc236064026"/>
      <w:r w:rsidRPr="000E47C0">
        <w:rPr>
          <w:color w:val="auto"/>
          <w:lang w:val="nl-NL"/>
        </w:rPr>
        <w:t>1. Mục tiêu chung</w:t>
      </w:r>
      <w:bookmarkEnd w:id="31"/>
    </w:p>
    <w:p w14:paraId="64954F45" w14:textId="77777777" w:rsidR="00197D5A" w:rsidRPr="000E47C0" w:rsidRDefault="00197D5A" w:rsidP="00197D5A">
      <w:pPr>
        <w:rPr>
          <w:bCs/>
          <w:lang w:val="nl-BE"/>
        </w:rPr>
      </w:pPr>
      <w:r w:rsidRPr="000E47C0">
        <w:rPr>
          <w:lang w:val="nl-NL"/>
        </w:rPr>
        <w:t>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32" w:name="_Toc236064027"/>
      <w:r w:rsidRPr="000E47C0">
        <w:rPr>
          <w:color w:val="auto"/>
          <w:lang w:val="nl-BE"/>
        </w:rPr>
        <w:t>2. Mục tiêu cụ thể</w:t>
      </w:r>
      <w:bookmarkEnd w:id="32"/>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r w:rsidRPr="000E47C0">
        <w:rPr>
          <w:b/>
          <w:lang w:val="nl-BE"/>
        </w:rPr>
        <w:t>từ Quý III năm 2028</w:t>
      </w:r>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Tăng cường công tác quản lý tài chính Công ty, bảo đảm doanh thu, lợi nhuận và thời gian hoàn vốn theo phương án phân kỳ đầu tư: có lãi từ năm thứ 3 hoạt động, thời gian hoàn vốn dự kiến khoảng 8,5 năm.</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33" w:name="_Toc236064028"/>
      <w:r w:rsidRPr="000E47C0">
        <w:rPr>
          <w:color w:val="auto"/>
          <w:lang w:val="nl-BE"/>
        </w:rPr>
        <w:t>II. THÔNG TIN CHUNG VỀ DOANH NGHIỆP VÀ CƠ SỞ ĐĂNG KIỂM</w:t>
      </w:r>
      <w:bookmarkEnd w:id="33"/>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20.456,50 triệu đồng (bằng chữ: Hai mươi tỷ, bốn trăm năm mươi sáu triệu, năm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34" w:name="_Hlk50126379"/>
      <w:r w:rsidRPr="000E47C0">
        <w:rPr>
          <w:lang w:val="nl-BE"/>
        </w:rPr>
        <w:t xml:space="preserve">Võ Nguyên Giáp, phường Đăk Cấm, tỉnh </w:t>
      </w:r>
      <w:bookmarkEnd w:id="34"/>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35" w:name="_Hlk50126409"/>
      <w:r w:rsidRPr="000E47C0">
        <w:rPr>
          <w:lang w:val="nl-BE"/>
        </w:rPr>
        <w:t>Khoảng 8.500m</w:t>
      </w:r>
      <w:r w:rsidRPr="000E47C0">
        <w:rPr>
          <w:vertAlign w:val="superscript"/>
          <w:lang w:val="nl-BE"/>
        </w:rPr>
        <w:t>2</w:t>
      </w:r>
      <w:bookmarkEnd w:id="35"/>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 xml:space="preserve">6. </w:t>
      </w:r>
      <w:r w:rsidRPr="000E47C0">
        <w:rPr>
          <w:b/>
          <w:bCs/>
          <w:lang w:val="nl-BE"/>
        </w:rPr>
        <w:t>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7AC36256" w14:textId="77777777" w:rsidR="00197D5A" w:rsidRPr="000E47C0" w:rsidRDefault="00197D5A" w:rsidP="00197D5A">
      <w:pPr>
        <w:pStyle w:val="Heading1"/>
        <w:rPr>
          <w:color w:val="auto"/>
          <w:lang w:val="nl-BE"/>
        </w:rPr>
      </w:pPr>
      <w:bookmarkStart w:id="38" w:name="_Toc236064029"/>
      <w:r w:rsidRPr="000E47C0">
        <w:rPr>
          <w:color w:val="auto"/>
          <w:lang w:val="nl-BE"/>
        </w:rPr>
        <w:t>III. CƠ CẤU VỐN ĐIỀU LỆ, THÀNH VIÊN GÓP VỐN</w:t>
      </w:r>
      <w:bookmarkEnd w:id="38"/>
    </w:p>
    <w:p w14:paraId="34A06CE3" w14:textId="77777777" w:rsidR="00197D5A" w:rsidRPr="000E47C0" w:rsidRDefault="00197D5A" w:rsidP="00197D5A">
      <w:pPr>
        <w:pStyle w:val="Heading2"/>
        <w:rPr>
          <w:color w:val="auto"/>
        </w:rPr>
      </w:pPr>
      <w:bookmarkStart w:id="39" w:name="_Toc236064030"/>
      <w:r w:rsidRPr="000E47C0">
        <w:rPr>
          <w:color w:val="auto"/>
        </w:rPr>
        <w:t>1. Cơ cấu vốn điều lệ, thành viên góp vốn</w:t>
      </w:r>
      <w:bookmarkEnd w:id="39"/>
    </w:p>
    <w:p w14:paraId="097E0CD2" w14:textId="77777777" w:rsidR="00197D5A" w:rsidRPr="000E47C0" w:rsidRDefault="00197D5A" w:rsidP="00197D5A">
      <w:pPr>
        <w:pStyle w:val="tnbng"/>
        <w:rPr>
          <w:color w:val="auto"/>
        </w:rPr>
      </w:pPr>
      <w:bookmarkStart w:id="40" w:name="_Toc238544017"/>
      <w:r w:rsidRPr="000E47C0">
        <w:rPr>
          <w:color w:val="auto"/>
        </w:rPr>
        <w:t>Bảng 5. Cơ cấu vốn điều lệ</w:t>
      </w:r>
      <w:bookmarkEnd w:id="40"/>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10.432,82</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r w:rsidRPr="000E47C0">
              <w:rPr>
                <w:szCs w:val="28"/>
              </w:rPr>
              <w:t>Tiền từ nguồn thu hoạt động sự nghiệp và các nguồn tài chính hợp pháp khác của Trường; vốn vay chỉ sử dụng khi được cơ quan có thẩm quyền hướng dẫn, chấp thuận</w:t>
            </w:r>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10.432,82</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10.023,68</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20.456,50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(1) Phần vốn góp bằng tiền của Trường là 10.432,82 triệu đồng để bảo đảm giữ tỷ lệ chi phối 51% trên 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 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41" w:name="_Toc236064031"/>
      <w:r w:rsidRPr="000E47C0">
        <w:rPr>
          <w:color w:val="auto"/>
        </w:rPr>
        <w:t>2. Căn cứ pháp lý góp vốn</w:t>
      </w:r>
      <w:bookmarkEnd w:id="41"/>
    </w:p>
    <w:p w14:paraId="74103532" w14:textId="4770E52E" w:rsidR="00197D5A" w:rsidRPr="000E47C0" w:rsidRDefault="00197D5A" w:rsidP="00197D5A">
      <w:pPr>
        <w:rPr>
          <w:lang w:val="nl-BE"/>
        </w:rPr>
      </w:pPr>
      <w:r w:rsidRPr="000E47C0">
        <w:rPr>
          <w:lang w:val="nl-BE"/>
        </w:rPr>
        <w:t>Căn cứ pháp lý cho việc Trường thành lập, tham gia góp vốn bằng tiền từ các nguồn tài chính hợp pháp của Trường tại bảng sau:</w:t>
      </w:r>
    </w:p>
    <w:p w14:paraId="2CD5B600" w14:textId="77777777" w:rsidR="00197D5A" w:rsidRPr="000E47C0" w:rsidRDefault="00197D5A" w:rsidP="00197D5A">
      <w:pPr>
        <w:pStyle w:val="tnbng"/>
        <w:rPr>
          <w:color w:val="auto"/>
        </w:rPr>
      </w:pPr>
      <w:bookmarkStart w:id="42" w:name="_Toc238544018"/>
      <w:r w:rsidRPr="000E47C0">
        <w:rPr>
          <w:color w:val="auto"/>
        </w:rPr>
        <w:t>Bảng 6. Căn cứ pháp lý góp vốn, thành lập doanh nghiệp</w:t>
      </w:r>
      <w:bookmarkEnd w:id="4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szCs w:val="28"/>
              </w:rPr>
              <w:t>Cơ sở GDNN công lập có quyền thành lập doanh nghiệp khi đủ điều kiện; doanh nghiệp là bộ phận trong cơ cấu tổ chức của cơ sở GDNN công lập</w:t>
            </w:r>
          </w:p>
        </w:tc>
      </w:tr>
      <w:tr w:rsidR="000E47C0" w:rsidRPr="000E47C0" w14:paraId="01D4EA19" w14:textId="77777777" w:rsidTr="006047EC">
        <w:tc>
          <w:tcPr>
            <w:tcW w:w="3500" w:type="dxa"/>
            <w:vAlign w:val="center"/>
          </w:tcPr>
          <w:p w14:paraId="2220E4DE" w14:textId="77777777" w:rsidR="00197D5A" w:rsidRPr="000E47C0" w:rsidRDefault="00197D5A" w:rsidP="006047EC">
            <w:pPr>
              <w:spacing w:before="0" w:after="0"/>
              <w:ind w:firstLine="0"/>
              <w:rPr>
                <w:rFonts w:eastAsia="Calibri"/>
                <w:szCs w:val="28"/>
              </w:rPr>
            </w:pPr>
            <w:r w:rsidRPr="000E47C0">
              <w:rPr>
                <w:szCs w:val="28"/>
              </w:rPr>
              <w:t>Điều 55 và khoản 1 Điều 58 Luật Quản lý, sử dụng tài sản công ngày 21 tháng 6 năm 2017</w:t>
            </w:r>
          </w:p>
        </w:tc>
        <w:tc>
          <w:tcPr>
            <w:tcW w:w="5567" w:type="dxa"/>
            <w:vAlign w:val="center"/>
          </w:tcPr>
          <w:p w14:paraId="62F8E779" w14:textId="77777777" w:rsidR="00197D5A" w:rsidRPr="000E47C0" w:rsidRDefault="00197D5A" w:rsidP="006047EC">
            <w:pPr>
              <w:spacing w:before="0" w:after="0"/>
              <w:ind w:firstLine="0"/>
              <w:rPr>
                <w:rFonts w:eastAsia="Calibri"/>
                <w:szCs w:val="28"/>
              </w:rPr>
            </w:pPr>
            <w:r w:rsidRPr="000E47C0">
              <w:rPr>
                <w:szCs w:val="28"/>
              </w:rPr>
              <w:t>Đơn vị sự nghiệp công lập được sử dụng tài sản công để liên doanh, liên kết với tổ chức, cá nhân</w:t>
            </w:r>
          </w:p>
        </w:tc>
      </w:tr>
      <w:tr w:rsidR="000E47C0" w:rsidRPr="000E47C0" w14:paraId="0EE6FD83" w14:textId="77777777" w:rsidTr="006047EC">
        <w:tc>
          <w:tcPr>
            <w:tcW w:w="3500" w:type="dxa"/>
            <w:vAlign w:val="center"/>
          </w:tcPr>
          <w:p w14:paraId="60256C17" w14:textId="77777777" w:rsidR="00197D5A" w:rsidRPr="000E47C0" w:rsidRDefault="00197D5A" w:rsidP="006047EC">
            <w:pPr>
              <w:spacing w:before="0" w:after="0"/>
              <w:ind w:firstLine="0"/>
              <w:rPr>
                <w:rFonts w:eastAsia="Calibri"/>
                <w:szCs w:val="28"/>
              </w:rPr>
            </w:pPr>
            <w:r w:rsidRPr="000E47C0">
              <w:rPr>
                <w:szCs w:val="28"/>
              </w:rPr>
              <w:t>Điểm c khoản 4 Điều 55 Nghị định số 186/2025/NĐ-CP</w:t>
            </w:r>
          </w:p>
        </w:tc>
        <w:tc>
          <w:tcPr>
            <w:tcW w:w="5567" w:type="dxa"/>
            <w:vAlign w:val="center"/>
          </w:tcPr>
          <w:p w14:paraId="16B0923D" w14:textId="77777777" w:rsidR="00197D5A" w:rsidRPr="000E47C0" w:rsidRDefault="00197D5A" w:rsidP="006047EC">
            <w:pPr>
              <w:spacing w:before="0" w:after="0"/>
              <w:ind w:firstLine="0"/>
              <w:rPr>
                <w:rFonts w:eastAsia="Calibri"/>
                <w:szCs w:val="28"/>
              </w:rPr>
            </w:pPr>
            <w:r w:rsidRPr="000E47C0">
              <w:rPr>
                <w:szCs w:val="28"/>
              </w:rPr>
              <w:t>Hình thức liên doanh, liên kết hình thành pháp nhân mới, các bên tham gia cùng góp tài sản hoặc góp vốn</w:t>
            </w:r>
          </w:p>
        </w:tc>
      </w:tr>
      <w:tr w:rsidR="000E47C0" w:rsidRPr="000E47C0" w14:paraId="69348736" w14:textId="77777777" w:rsidTr="006047EC">
        <w:tc>
          <w:tcPr>
            <w:tcW w:w="3500" w:type="dxa"/>
            <w:vAlign w:val="center"/>
          </w:tcPr>
          <w:p w14:paraId="4E984BC7" w14:textId="77777777" w:rsidR="00197D5A" w:rsidRPr="000E47C0" w:rsidRDefault="00197D5A" w:rsidP="006047EC">
            <w:pPr>
              <w:spacing w:before="0" w:after="0"/>
              <w:ind w:firstLine="0"/>
              <w:rPr>
                <w:rFonts w:eastAsia="Calibri"/>
                <w:szCs w:val="28"/>
              </w:rPr>
            </w:pPr>
            <w:r w:rsidRPr="000E47C0">
              <w:rPr>
                <w:szCs w:val="28"/>
              </w:rPr>
              <w:t>Điểm a khoản 1 Điều 6; khoản 5, điểm b khoản 6, điểm a khoản 7 Điều 7 Nghị định số 334/2026/NĐ-CP</w:t>
            </w:r>
          </w:p>
        </w:tc>
        <w:tc>
          <w:tcPr>
            <w:tcW w:w="5567" w:type="dxa"/>
            <w:vAlign w:val="center"/>
          </w:tcPr>
          <w:p w14:paraId="439FEC2E" w14:textId="77777777" w:rsidR="00197D5A" w:rsidRPr="000E47C0" w:rsidRDefault="00197D5A" w:rsidP="006047EC">
            <w:pPr>
              <w:spacing w:before="0" w:after="0"/>
              <w:ind w:firstLine="0"/>
              <w:rPr>
                <w:rFonts w:eastAsia="Calibri"/>
                <w:szCs w:val="28"/>
              </w:rPr>
            </w:pPr>
            <w:r w:rsidRPr="000E47C0">
              <w:rPr>
                <w:szCs w:val="28"/>
              </w:rPr>
              <w:t>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43" w:name="_Toc236064032"/>
      <w:r w:rsidRPr="000E47C0">
        <w:rPr>
          <w:color w:val="auto"/>
          <w:lang w:val="nl-BE"/>
        </w:rPr>
        <w:t>IV. VỊ TRÍ, CHỨC NĂNG, NHIỆM VỤ, QUYỀN HẠN, TỔ CHỨC, NHÂN SỰ VÀ MỐI QUAN HỆ CÔNG TÁC</w:t>
      </w:r>
      <w:bookmarkEnd w:id="43"/>
    </w:p>
    <w:p w14:paraId="7290194D" w14:textId="77777777" w:rsidR="00197D5A" w:rsidRPr="000E47C0" w:rsidRDefault="00197D5A" w:rsidP="00197D5A">
      <w:pPr>
        <w:pStyle w:val="Heading2"/>
        <w:rPr>
          <w:i/>
          <w:color w:val="auto"/>
          <w:lang w:val="nl-BE"/>
        </w:rPr>
      </w:pPr>
      <w:bookmarkStart w:id="44" w:name="_Toc236064033"/>
      <w:r w:rsidRPr="000E47C0">
        <w:rPr>
          <w:color w:val="auto"/>
          <w:lang w:val="nl-BE"/>
        </w:rPr>
        <w:t>1. Vị trí, chức năng</w:t>
      </w:r>
      <w:bookmarkEnd w:id="44"/>
    </w:p>
    <w:p w14:paraId="1D2783D4" w14:textId="77777777" w:rsidR="00877592" w:rsidRPr="000E47C0" w:rsidRDefault="005E4190" w:rsidP="00197D5A">
      <w:pPr>
        <w:rPr>
          <w:lang w:val="nl-BE"/>
        </w:rPr>
      </w:pPr>
      <w:r w:rsidRPr="000E47C0">
        <w:rPr>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45" w:name="_Toc236064034"/>
      <w:r w:rsidRPr="000E47C0">
        <w:rPr>
          <w:color w:val="auto"/>
          <w:lang w:val="nl-BE"/>
        </w:rPr>
        <w:t>2. Nhiệm vụ, quyền hạn</w:t>
      </w:r>
      <w:bookmarkEnd w:id="45"/>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w:t>
      </w:r>
      <w:r w:rsidRPr="000E47C0">
        <w:rPr>
          <w:lang w:val="nl-BE"/>
        </w:rPr>
        <w:t>Thực hiện các nhiệm vụ khác theo nghị quyết, quyết định của Hội đồng thành viên, theo hợp đồng ký với Trường Cao đẳng Kon Tum và theo yêu cầu của cơ quan nhà nước có thẩm quyền.</w:t>
      </w:r>
      <w:r w:rsidRPr="000E47C0">
        <w:rPr>
          <w:lang w:val="nl-BE"/>
        </w:rPr>
        <w:t xml:space="preserve">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48" w:name="_Toc236064035"/>
      <w:r w:rsidRPr="000E47C0">
        <w:rPr>
          <w:color w:val="auto"/>
          <w:lang w:val="nl-BE"/>
        </w:rPr>
        <w:t>3. Mô hình quản trị, tổ chức, nhân sự Công ty</w:t>
      </w:r>
      <w:bookmarkEnd w:id="48"/>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 (hợp nhất tại Văn bản hợp nhất số 67/VBHN-VPQH ngày 15 tháng 8 năm 2025), cụ thể tại Bảng sau:</w:t>
      </w:r>
    </w:p>
    <w:p w14:paraId="7E1F2222" w14:textId="77777777" w:rsidR="00197D5A" w:rsidRPr="000E47C0" w:rsidRDefault="00197D5A" w:rsidP="00197D5A">
      <w:pPr>
        <w:pStyle w:val="tnbng"/>
        <w:rPr>
          <w:color w:val="auto"/>
        </w:rPr>
      </w:pPr>
      <w:bookmarkStart w:id="49" w:name="_Toc238544019"/>
      <w:r w:rsidRPr="000E47C0">
        <w:rPr>
          <w:color w:val="auto"/>
        </w:rPr>
        <w:t>Bảng 7. Mô hình quản trị Công ty</w:t>
      </w:r>
      <w:bookmarkEnd w:id="4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szCs w:val="28"/>
              </w:rPr>
              <w:t xml:space="preserve"> phần vốn góp của Trường (do cấp có thẩm quyền cử theo cơ chế quản lý phần vốn được Bộ Tài chính, Bộ Nội vụ hướng dẫn) và đại diện nhà đầu tư chiến lược. Chủ tịch HĐTV do HĐTV bầu theo Điều lệ Công ty; người được cử làm đại diện phần vốn của Trường đáp ứng tiêu chuẩn, điều kiện theo quy định (trường hợp áp dụng pháp luật về quản lý và đầu tư vốn nhà nước tại doanh nghiệp thì không là cán bộ, công chức, viên chức theo khoản 4 Điều 4 Nghị định số 181/2026/NĐ-CP).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b/>
                <w:bCs/>
                <w:szCs w:val="28"/>
              </w:rPr>
              <w:t>- Quản trị chiến lược:</w:t>
            </w:r>
            <w:r w:rsidRPr="000E47C0">
              <w:rPr>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b/>
                <w:bCs/>
                <w:szCs w:val="28"/>
              </w:rPr>
              <w:t>- Quản trị thể chế:</w:t>
            </w:r>
            <w:r w:rsidRPr="000E47C0">
              <w:rPr>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szCs w:val="28"/>
              </w:rPr>
              <w:t>Do HĐTV bổ nhiệm, điều hành hoạt động kinh doanh hằng ngày, chịu trách nhiệm trước HĐTV và pháp luật. Không bắt buộc là ĐKV; lãnh đạo cơ sở đăng kiểm là ĐKV theo Điều 6 Nghị định số 89/2026/NĐ-CP do Phó Giám đốc phụ trách chuyên môn đảm nhiệm</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b/>
                <w:bCs/>
                <w:szCs w:val="28"/>
              </w:rPr>
              <w:t>- Quản trị điều hành:</w:t>
            </w:r>
            <w:r w:rsidRPr="000E47C0">
              <w:rPr>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szCs w:val="28"/>
              </w:rPr>
              <w:t>Do Hội đồng thành viên bổ nhiệm, miễn nhiệm theo Điều lệ Công ty (trường hợp áp dụng cơ chế quản lý vốn nhà nước tại doanh nghiệp thì thực hiện theo quyết định của cơ quan có thẩm quyền);</w:t>
            </w:r>
            <w:r w:rsidRPr="000E47C0">
              <w:rPr>
                <w:szCs w:val="28"/>
              </w:rPr>
              <w:t xml:space="preserve">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52" w:name="_Toc238544020"/>
      <w:r w:rsidRPr="000E47C0">
        <w:rPr>
          <w:color w:val="auto"/>
        </w:rPr>
        <w:t>Bảng 8. Ma trận phân quyền RACI cho các quyết định chủ yếu</w:t>
      </w:r>
      <w:bookmarkEnd w:id="52"/>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szCs w:val="28"/>
              </w:rPr>
              <w:t>Quản lý, sử dụng tài sản của Công ty (tài sản công của Trường do Hiệu trưởng, cấp có thẩm quyền quyết định theo pháp luật về quản lý, sử dụng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53" w:name="_Toc236058865"/>
      <w:r w:rsidRPr="000E47C0">
        <w:rPr>
          <w:color w:val="auto"/>
        </w:rPr>
        <w:t>Sơ đồ 1. Cơ cấu tổ chức của Công ty</w:t>
      </w:r>
      <w:bookmarkEnd w:id="53"/>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 xml:space="preserve">Tổng số: </w:t>
      </w:r>
      <w:r w:rsidRPr="000E47C0">
        <w:rPr>
          <w:lang w:val="nl-BE"/>
        </w:rPr>
        <w:t>Tối thiểu 11 người làm việc tác nghiệp trong giai đoạn 1 (không tính thành viên Hội đồng thành viên, người đại diện phần vốn, Kiểm soát viên)</w:t>
      </w:r>
      <w:r w:rsidRPr="000E47C0">
        <w:rPr>
          <w:lang w:val="nl-BE"/>
        </w:rPr>
        <w:t>,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1EA255B" w14:textId="77777777" w:rsidR="00197D5A" w:rsidRPr="000E47C0" w:rsidRDefault="00197D5A" w:rsidP="00197D5A">
      <w:pPr>
        <w:rPr>
          <w:lang w:val="nl-BE"/>
        </w:rPr>
      </w:pPr>
      <w:r w:rsidRPr="000E47C0">
        <w:rPr>
          <w:lang w:val="nl-BE"/>
        </w:rPr>
        <w:t>-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việc cử chỉ thực hiện sau khi có hướng dẫn của Bộ Nội vụ, bảo đảm không làm ảnh hưởng đến nhiệm vụ của Trường và tuân thủ khoản 4 Điều 4 Nghị định số 181/2026/NĐ-CP trong trường hợp áp dụng cơ chế quản lý vốn nhà nước tại doanh nghiệp.</w:t>
      </w:r>
    </w:p>
    <w:p w14:paraId="46222426" w14:textId="77777777" w:rsidR="00197D5A" w:rsidRPr="000E47C0" w:rsidRDefault="00197D5A" w:rsidP="00197D5A">
      <w:pPr>
        <w:rPr>
          <w:lang w:val="nl-BE"/>
        </w:rPr>
      </w:pPr>
      <w:r w:rsidRPr="000E47C0">
        <w:rPr>
          <w:lang w:val="nl-BE"/>
        </w:rPr>
        <w:t>- Số lượng người làm việc theo chế độ hợp đồng: Từ 09 người trở lên.</w:t>
      </w:r>
    </w:p>
    <w:p w14:paraId="26D19E5F" w14:textId="77777777" w:rsidR="00197D5A" w:rsidRPr="000E47C0" w:rsidRDefault="00197D5A" w:rsidP="00197D5A">
      <w:pPr>
        <w:pStyle w:val="tnbng"/>
        <w:rPr>
          <w:color w:val="auto"/>
        </w:rPr>
      </w:pPr>
      <w:bookmarkStart w:id="56" w:name="_Toc238544021"/>
      <w:r w:rsidRPr="000E47C0">
        <w:rPr>
          <w:color w:val="auto"/>
        </w:rPr>
        <w:t>Bảng 9. Nhân sự, số người làm việc và vị trí việc làm của Công ty</w:t>
      </w:r>
      <w:bookmarkEnd w:id="56"/>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Tối thiểu là ĐKV hạng I; có kinh nghiệm thực hiện công tác kiểm định đủ 60 tháng (Điều 6 Nghị định số 89/2026/NĐ-CP)</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3</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0EA7C9EF" w14:textId="77777777" w:rsidR="00197D5A" w:rsidRPr="000E47C0" w:rsidRDefault="00197D5A" w:rsidP="00197D5A">
      <w:r w:rsidRPr="000E47C0">
        <w:rPr>
          <w:b/>
          <w:bCs/>
        </w:rPr>
        <w:t>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p>
    <w:p w14:paraId="0EA7C9EF" w14:textId="77777777" w:rsidR="00197D5A" w:rsidRPr="000E47C0" w:rsidRDefault="00197D5A" w:rsidP="00197D5A">
      <w:r w:rsidRPr="000E47C0">
        <w:rPr>
          <w:b/>
          <w:bCs/>
        </w:rPr>
        <w:t xml:space="preserve">Hiện nay, Trường chưa có nhân sự có chứng chỉ đăng kiểm viên hoặc đủ 60 tháng kinh nghiệm thực hiện công tác kiểm định; Phó Giám đốc phụ trách chuyên môn (lãnh đạo cơ sở đăng kiểm) và Trưởng Bộ phận Kiểm định được tuyển dụng mới, bảo đảm điều kiện tại Điều 6 Nghị định số 89/2026/NĐ-CP trước khi đề nghị cấp giấy chứng nhận đủ điều kiện hoạt động kiểm định; các vị trí đăng kiểm viên còn lại được đào tạo từ đội ngũ kỹ sư Công nghệ kỹ thuật ô tô của Trường hoặc tuyển dụng.</w:t>
      </w:r>
    </w:p>
    <w:p w14:paraId="63A38361" w14:textId="77777777" w:rsidR="00197D5A" w:rsidRPr="000E47C0" w:rsidRDefault="00197D5A" w:rsidP="00197D5A">
      <w:pPr>
        <w:pStyle w:val="Heading2"/>
        <w:rPr>
          <w:color w:val="auto"/>
          <w:lang w:val="nl-NL"/>
        </w:rPr>
      </w:pPr>
      <w:bookmarkStart w:id="57" w:name="_Toc236064036"/>
      <w:r w:rsidRPr="000E47C0">
        <w:rPr>
          <w:color w:val="auto"/>
          <w:lang w:val="nl-BE"/>
        </w:rPr>
        <w:t>4</w:t>
      </w:r>
      <w:r w:rsidRPr="000E47C0">
        <w:rPr>
          <w:color w:val="auto"/>
        </w:rPr>
        <w:t>. Hội đồng thành viên</w:t>
      </w:r>
      <w:bookmarkEnd w:id="57"/>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Hội đồng thành viên Công ty được thành lập, hoạt động theo quy định tại Điều 55 Luật Doanh nghiệp ngày 17 tháng 6 năm 2020 (hợp nhất tại Văn bản hợp nhất số 67/VBHN-VPQH ngày 15 tháng 8 năm 2025)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58" w:name="_Toc236064037"/>
      <w:r w:rsidRPr="000E47C0">
        <w:rPr>
          <w:color w:val="auto"/>
          <w:lang w:val="nl-BE"/>
        </w:rPr>
        <w:t>5. Người đại diện phần vốn Nhà nước tại doanh nghiệp</w:t>
      </w:r>
      <w:bookmarkEnd w:id="58"/>
    </w:p>
    <w:p w14:paraId="214C00A8" w14:textId="1983452B" w:rsidR="00197D5A" w:rsidRPr="000E47C0" w:rsidRDefault="00197D5A" w:rsidP="00197D5A">
      <w:r w:rsidRPr="000E47C0">
        <w:t>Trường Cao đẳng Kon Tum có trách nhiệm đề xuất để cấp có thẩm quyền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quản lý doanh nghiệp nhà nước, người đại diện phần vốn nhà nước, kiểm soát viên không là cán bộ, công chức, viên chức", do đó, nhà trường chỉ đề xuất cử người đại diện phần vốn sau khi có hướng dẫn của Bộ Nội vụ về cơ chế áp dụng đối với viên chức và hoàn tất các thủ tục theo quy định).</w:t>
      </w:r>
    </w:p>
    <w:p w14:paraId="7BC1EFF0" w14:textId="77777777" w:rsidR="00197D5A" w:rsidRPr="000E47C0" w:rsidRDefault="00197D5A" w:rsidP="00197D5A">
      <w:pPr>
        <w:pStyle w:val="Heading2"/>
        <w:rPr>
          <w:color w:val="auto"/>
          <w:lang w:val="nl-BE"/>
        </w:rPr>
      </w:pPr>
      <w:bookmarkStart w:id="59" w:name="_Toc236064038"/>
      <w:r w:rsidRPr="000E47C0">
        <w:rPr>
          <w:color w:val="auto"/>
          <w:lang w:val="nl-BE"/>
        </w:rPr>
        <w:t>6. Mối quan hệ công tác</w:t>
      </w:r>
      <w:bookmarkEnd w:id="59"/>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thực hiện quyền, nghĩa vụ của thành viên góp vốn chi phối (51%) thông qua người đại diện phần vốn tại Hội đồng thành viên theo Luật Doanh nghiệp và Điều lệ Công ty; giám sát việc sử dụng tài sản công của Trường và việc gắn hoạt động của Trung tâm với đào tạo; không can thiệp trực tiếp vào hoạt động điều hành của Công ty.</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60" w:name="_Toc236064039"/>
      <w:r w:rsidRPr="000E47C0">
        <w:rPr>
          <w:color w:val="auto"/>
        </w:rPr>
        <w:t>V. ĐỊA ĐIỂM ĐẦU TƯ, VIỆC QUẢN LÝ, SỬ DỤNG TÀI SẢN CÔNG LÀ ĐẤT VÀO MỤC ĐÍCH KINH DOANH, LIÊN DANH, LIÊN KẾT</w:t>
      </w:r>
      <w:bookmarkEnd w:id="60"/>
    </w:p>
    <w:p w14:paraId="6AA9ED55" w14:textId="77777777" w:rsidR="00197D5A" w:rsidRPr="000E47C0" w:rsidRDefault="00197D5A" w:rsidP="00197D5A">
      <w:pPr>
        <w:pStyle w:val="Heading2"/>
        <w:rPr>
          <w:color w:val="auto"/>
          <w:lang w:val="nl-NL"/>
        </w:rPr>
      </w:pPr>
      <w:bookmarkStart w:id="61" w:name="_Toc236064040"/>
      <w:r w:rsidRPr="000E47C0">
        <w:rPr>
          <w:color w:val="auto"/>
          <w:lang w:val="nl-NL"/>
        </w:rPr>
        <w:t>1. Thực trạng quản lý, sử dụng tài sản công tại đơn vị theo các nhóm tài sản</w:t>
      </w:r>
      <w:bookmarkEnd w:id="61"/>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62" w:name="_Toc238544022"/>
      <w:r w:rsidRPr="000E47C0">
        <w:rPr>
          <w:color w:val="auto"/>
        </w:rPr>
        <w:t>Bảng 10. Tổng giá trị tài sản đến ngày 30/6/2026</w:t>
      </w:r>
      <w:bookmarkEnd w:id="62"/>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2: Khoa Kinh tế - Nông Lâm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63" w:name="_Toc238544023"/>
      <w:r w:rsidRPr="000E47C0">
        <w:rPr>
          <w:color w:val="auto"/>
        </w:rPr>
        <w:t>Bảng 11. Bảng tính giá trị quyền sử dụng đất</w:t>
      </w:r>
      <w:bookmarkEnd w:id="63"/>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Cơ sở 2: Khoa Kinh tế - Nông Lâm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247.626.261.360</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64"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64"/>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65" w:name="_Toc236064042"/>
      <w:r w:rsidRPr="000E47C0">
        <w:rPr>
          <w:color w:val="auto"/>
          <w:lang w:val="nl-NL"/>
        </w:rPr>
        <w:t>3. Tính giá trị tài sản sử dụng vào mục đích kinh doanh</w:t>
      </w:r>
      <w:bookmarkEnd w:id="65"/>
      <w:r w:rsidRPr="000E47C0">
        <w:rPr>
          <w:color w:val="auto"/>
          <w:lang w:val="nl-NL"/>
        </w:rPr>
        <w:t xml:space="preserve"> </w:t>
      </w:r>
    </w:p>
    <w:p w14:paraId="684A51A0" w14:textId="77777777" w:rsidR="00197D5A" w:rsidRPr="000E47C0" w:rsidRDefault="00197D5A" w:rsidP="00197D5A">
      <w:pPr>
        <w:pStyle w:val="tnbng"/>
        <w:rPr>
          <w:b/>
          <w:bCs/>
          <w:color w:val="auto"/>
        </w:rPr>
      </w:pPr>
      <w:r w:rsidRPr="000E47C0">
        <w:rPr>
          <w:color w:val="auto"/>
        </w:rPr>
        <w:t>Bảng 12. Bảng tính giá trị tài sản sử dụng vào mục đích kinh doanh</w:t>
      </w:r>
    </w:p>
    <w:p w14:paraId="55FAA04E" w14:textId="77777777" w:rsidR="00197D5A" w:rsidRPr="000E47C0" w:rsidRDefault="00197D5A" w:rsidP="00197D5A">
      <w:pPr>
        <w:pStyle w:val="tnbng"/>
        <w:rPr>
          <w:b/>
          <w:bCs/>
          <w:color w:val="auto"/>
        </w:rPr>
      </w:pPr>
      <w:bookmarkStart w:id="66" w:name="_Toc238544024"/>
      <w:bookmarkEnd w:id="66"/>
      <w:r w:rsidRPr="000E47C0">
        <w:rPr>
          <w:color w:val="auto"/>
        </w:rPr>
        <w:t>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Căn cứ pháp lý về quyền sử dụng tài sản công vào mục đích liên doanh, liên kết theo quy định tại Điều 55 và Điều 58 Luật Quản lý, sử dụng tài sản công ngày 21 tháng 6 năm 2017 (hợp nhất tại Văn bản hợp nhất số 97/VBHN-VPQH ngày 22 tháng 8 năm 2025)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Hiện trạng khu đất là đất trống; hình thức để Công ty sử dụng mặt bằng (cho thuê tài sản công hay sử dụng tài sản công vào liên doanh, liên kết), thời hạn, giá và nghĩa vụ tài chính về đất (nếu có) được xác định tại Đề án sử dụng tài sản công được phê duyệt theo hướng dẫn của Bộ Tài chính; trường hợp thuộc phạm vi điểm d khoản 4 Điều 51 Nghị định số 186/2025/NĐ-CP thì Trường không phải nộp tiền thuê đất</w:t>
      </w:r>
      <w:r w:rsidRPr="000E47C0">
        <w:rPr>
          <w:lang w:val="nl-NL"/>
        </w:rPr>
        <w:t xml:space="preserve">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67" w:name="_Toc236064043"/>
      <w:r w:rsidRPr="000E47C0">
        <w:rPr>
          <w:color w:val="auto"/>
          <w:lang w:val="nl-NL"/>
        </w:rPr>
        <w:t>4. Quản lý tài sản công khi giao cho doanh nghiệp</w:t>
      </w:r>
      <w:bookmarkEnd w:id="67"/>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68" w:name="_Toc238544025"/>
      <w:r w:rsidRPr="000E47C0">
        <w:rPr>
          <w:color w:val="auto"/>
        </w:rPr>
        <w:t>Bảng 13. Bảng phân tách nhóm quyền đối với tài sản</w:t>
      </w:r>
      <w:bookmarkEnd w:id="68"/>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69"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69"/>
    </w:p>
    <w:p w14:paraId="6F18F13B" w14:textId="77777777" w:rsidR="00197D5A" w:rsidRPr="000E47C0" w:rsidRDefault="00197D5A" w:rsidP="00197D5A">
      <w:pPr>
        <w:pStyle w:val="Heading2"/>
        <w:rPr>
          <w:color w:val="auto"/>
          <w:lang w:val="nl-NL"/>
        </w:rPr>
      </w:pPr>
      <w:bookmarkStart w:id="70" w:name="_Toc236064045"/>
      <w:r w:rsidRPr="000E47C0">
        <w:rPr>
          <w:color w:val="auto"/>
          <w:lang w:val="nl-NL"/>
        </w:rPr>
        <w:t>1. Đầu tư cơ sở vật chất</w:t>
      </w:r>
      <w:bookmarkEnd w:id="70"/>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71" w:name="_Toc238544026"/>
      <w:r w:rsidRPr="000E47C0">
        <w:rPr>
          <w:color w:val="auto"/>
        </w:rPr>
        <w:t>Bảng 14. Bảng cân đối sử dụng đất</w:t>
      </w:r>
      <w:bookmarkEnd w:id="71"/>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r>
              <w:t>Giai đoạn 1 đầu tư 2.000 m2</w:t>
            </w: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72" w:name="_Toc236064046"/>
      <w:r w:rsidRPr="000E47C0">
        <w:rPr>
          <w:color w:val="auto"/>
        </w:rPr>
        <w:t>2. Về phương tiện, trang thiết bị</w:t>
      </w:r>
      <w:bookmarkEnd w:id="72"/>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r w:rsidRPr="000E47C0">
        <w:rPr>
          <w:b/>
          <w:bCs/>
          <w:lang w:val="nl-NL"/>
        </w:rPr>
        <w:t>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p>
    <w:p w14:paraId="24E12D0F" w14:textId="5DA16999" w:rsidR="00197D5A" w:rsidRPr="000E47C0" w:rsidRDefault="00197D5A" w:rsidP="00197D5A">
      <w:pPr>
        <w:pStyle w:val="tnbng"/>
        <w:rPr>
          <w:color w:val="auto"/>
          <w:lang w:val="nl-NL"/>
        </w:rPr>
      </w:pPr>
      <w:bookmarkStart w:id="73" w:name="_Toc238544027"/>
      <w:r w:rsidRPr="000E47C0">
        <w:rPr>
          <w:color w:val="auto"/>
        </w:rPr>
        <w:t>Bảng 15. Nhu cầu thiết bị dây chuyền kiểm định tổng hợp giai đoạn 1</w:t>
      </w:r>
      <w:bookmarkEnd w:id="7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134"/>
        <w:gridCol w:w="1701"/>
      </w:tblGrid>
      <w:tr w:rsidR="000E47C0" w:rsidRPr="000E47C0" w14:paraId="228770C2" w14:textId="77777777" w:rsidTr="000218C5">
        <w:trPr>
          <w:trHeight w:val="132"/>
          <w:tblHead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134"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1701"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0218C5">
        <w:trPr>
          <w:trHeight w:val="397"/>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134" w:type="dxa"/>
            <w:vAlign w:val="center"/>
          </w:tcPr>
          <w:p w14:paraId="5B4C73D1" w14:textId="77777777" w:rsidR="00197D5A" w:rsidRPr="000E47C0" w:rsidRDefault="00197D5A" w:rsidP="006047EC">
            <w:pPr>
              <w:pStyle w:val="IntenseQuote"/>
              <w:jc w:val="center"/>
            </w:pPr>
            <w:r w:rsidRPr="000E47C0">
              <w:t>1</w:t>
            </w:r>
          </w:p>
        </w:tc>
        <w:tc>
          <w:tcPr>
            <w:tcW w:w="1701"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0218C5">
        <w:trPr>
          <w:trHeight w:val="397"/>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r w:rsidRPr="000E47C0">
              <w:t>Thiết bị kiểm tra phanh tổng hợp (loại I và loại II), tải trọng cầu đến 13 tấn, có chức năng kiểm tra xe dẫn động bốn bánh toàn thời gian.</w:t>
            </w:r>
          </w:p>
        </w:tc>
        <w:tc>
          <w:tcPr>
            <w:tcW w:w="1134" w:type="dxa"/>
            <w:vAlign w:val="center"/>
          </w:tcPr>
          <w:p w14:paraId="61E59E4B" w14:textId="77777777" w:rsidR="00197D5A" w:rsidRPr="000E47C0" w:rsidRDefault="00197D5A" w:rsidP="006047EC">
            <w:pPr>
              <w:pStyle w:val="IntenseQuote"/>
              <w:jc w:val="center"/>
            </w:pPr>
            <w:r w:rsidRPr="000E47C0">
              <w:t>1</w:t>
            </w:r>
          </w:p>
        </w:tc>
        <w:tc>
          <w:tcPr>
            <w:tcW w:w="1701" w:type="dxa"/>
            <w:vAlign w:val="center"/>
          </w:tcPr>
          <w:p w14:paraId="40F699DC" w14:textId="77777777" w:rsidR="00197D5A" w:rsidRPr="000E47C0" w:rsidRDefault="00197D5A" w:rsidP="006047EC">
            <w:pPr>
              <w:pStyle w:val="IntenseQuote"/>
              <w:jc w:val="right"/>
            </w:pPr>
          </w:p>
        </w:tc>
      </w:tr>
      <w:tr w:rsidR="000E47C0" w:rsidRPr="000E47C0" w14:paraId="503DE31A" w14:textId="77777777" w:rsidTr="000218C5">
        <w:trPr>
          <w:trHeight w:val="397"/>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134" w:type="dxa"/>
            <w:vAlign w:val="center"/>
          </w:tcPr>
          <w:p w14:paraId="20E32EFA" w14:textId="77777777" w:rsidR="00197D5A" w:rsidRPr="000E47C0" w:rsidRDefault="00197D5A" w:rsidP="006047EC">
            <w:pPr>
              <w:pStyle w:val="IntenseQuote"/>
              <w:jc w:val="center"/>
            </w:pPr>
            <w:r w:rsidRPr="000E47C0">
              <w:t>1</w:t>
            </w:r>
          </w:p>
        </w:tc>
        <w:tc>
          <w:tcPr>
            <w:tcW w:w="1701"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0218C5">
        <w:trPr>
          <w:trHeight w:val="397"/>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134" w:type="dxa"/>
            <w:vAlign w:val="center"/>
          </w:tcPr>
          <w:p w14:paraId="2AAD6BEB" w14:textId="77777777" w:rsidR="00197D5A" w:rsidRPr="000E47C0" w:rsidRDefault="00197D5A" w:rsidP="006047EC">
            <w:pPr>
              <w:pStyle w:val="IntenseQuote"/>
              <w:jc w:val="center"/>
            </w:pPr>
            <w:r w:rsidRPr="000E47C0">
              <w:t>1</w:t>
            </w:r>
          </w:p>
        </w:tc>
        <w:tc>
          <w:tcPr>
            <w:tcW w:w="1701"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0218C5">
        <w:trPr>
          <w:trHeight w:val="397"/>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134" w:type="dxa"/>
            <w:vAlign w:val="center"/>
          </w:tcPr>
          <w:p w14:paraId="069B9990" w14:textId="77777777" w:rsidR="00197D5A" w:rsidRPr="000E47C0" w:rsidRDefault="00197D5A" w:rsidP="006047EC">
            <w:pPr>
              <w:pStyle w:val="IntenseQuote"/>
              <w:jc w:val="center"/>
            </w:pPr>
            <w:r w:rsidRPr="000E47C0">
              <w:t>1</w:t>
            </w:r>
          </w:p>
        </w:tc>
        <w:tc>
          <w:tcPr>
            <w:tcW w:w="1701"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0218C5">
        <w:trPr>
          <w:trHeight w:val="397"/>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134" w:type="dxa"/>
            <w:vAlign w:val="center"/>
          </w:tcPr>
          <w:p w14:paraId="3AABC9A5" w14:textId="77777777" w:rsidR="00197D5A" w:rsidRPr="000E47C0" w:rsidRDefault="00197D5A" w:rsidP="006047EC">
            <w:pPr>
              <w:pStyle w:val="IntenseQuote"/>
              <w:jc w:val="center"/>
            </w:pPr>
            <w:r w:rsidRPr="000E47C0">
              <w:t>1</w:t>
            </w:r>
          </w:p>
        </w:tc>
        <w:tc>
          <w:tcPr>
            <w:tcW w:w="1701"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0218C5">
        <w:trPr>
          <w:trHeight w:val="397"/>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134" w:type="dxa"/>
            <w:vAlign w:val="center"/>
          </w:tcPr>
          <w:p w14:paraId="48336E30" w14:textId="77777777" w:rsidR="00197D5A" w:rsidRPr="000E47C0" w:rsidRDefault="00197D5A" w:rsidP="006047EC">
            <w:pPr>
              <w:pStyle w:val="IntenseQuote"/>
              <w:jc w:val="center"/>
            </w:pPr>
            <w:r w:rsidRPr="000E47C0">
              <w:t>1</w:t>
            </w:r>
          </w:p>
        </w:tc>
        <w:tc>
          <w:tcPr>
            <w:tcW w:w="1701" w:type="dxa"/>
            <w:vAlign w:val="center"/>
          </w:tcPr>
          <w:p w14:paraId="78170971" w14:textId="77777777" w:rsidR="00197D5A" w:rsidRPr="000E47C0" w:rsidRDefault="00197D5A" w:rsidP="006047EC">
            <w:pPr>
              <w:pStyle w:val="IntenseQuote"/>
              <w:jc w:val="right"/>
            </w:pPr>
          </w:p>
        </w:tc>
      </w:tr>
      <w:tr w:rsidR="000E47C0" w:rsidRPr="000E47C0" w14:paraId="17FC36DB" w14:textId="77777777" w:rsidTr="000218C5">
        <w:trPr>
          <w:trHeight w:val="397"/>
        </w:trPr>
        <w:tc>
          <w:tcPr>
            <w:tcW w:w="704" w:type="dxa"/>
            <w:vAlign w:val="center"/>
          </w:tcPr>
          <w:p w14:paraId="0AE4AFF3" w14:textId="77777777" w:rsidR="00197D5A" w:rsidRPr="000E47C0" w:rsidRDefault="00197D5A" w:rsidP="006047EC">
            <w:pPr>
              <w:pStyle w:val="IntenseQuote"/>
              <w:jc w:val="center"/>
            </w:pPr>
            <w:r w:rsidRPr="000E47C0">
              <w:t>9</w:t>
            </w:r>
          </w:p>
        </w:tc>
        <w:tc>
          <w:tcPr>
            <w:tcW w:w="5528" w:type="dxa"/>
            <w:vAlign w:val="center"/>
          </w:tcPr>
          <w:p w14:paraId="023EA811" w14:textId="77777777" w:rsidR="00197D5A" w:rsidRPr="000E47C0" w:rsidRDefault="00197D5A" w:rsidP="006047EC">
            <w:pPr>
              <w:pStyle w:val="IntenseQuote"/>
            </w:pPr>
            <w:r w:rsidRPr="000E47C0">
              <w:t>Thiết bị cân kiểm tra khối lượng trục đơn (0 – 5.000 kg) và cân cụm trục (0 – 30.000 kg)</w:t>
            </w:r>
          </w:p>
        </w:tc>
        <w:tc>
          <w:tcPr>
            <w:tcW w:w="1134" w:type="dxa"/>
            <w:vAlign w:val="center"/>
          </w:tcPr>
          <w:p w14:paraId="38C23CCA" w14:textId="77777777" w:rsidR="00197D5A" w:rsidRPr="000E47C0" w:rsidRDefault="00197D5A" w:rsidP="006047EC">
            <w:pPr>
              <w:pStyle w:val="IntenseQuote"/>
              <w:jc w:val="center"/>
            </w:pPr>
            <w:r w:rsidRPr="000E47C0">
              <w:t>2</w:t>
            </w:r>
          </w:p>
        </w:tc>
        <w:tc>
          <w:tcPr>
            <w:tcW w:w="1701" w:type="dxa"/>
            <w:vAlign w:val="center"/>
          </w:tcPr>
          <w:p w14:paraId="0EA2D619" w14:textId="77777777" w:rsidR="00197D5A" w:rsidRPr="000E47C0" w:rsidRDefault="00197D5A" w:rsidP="000218C5">
            <w:pPr>
              <w:pStyle w:val="IntenseQuote"/>
              <w:jc w:val="center"/>
            </w:pPr>
            <w:r>
              <w:t>Thuộc khoản dự phòng</w:t>
            </w:r>
          </w:p>
        </w:tc>
      </w:tr>
      <w:tr w:rsidR="000E47C0" w:rsidRPr="000E47C0" w14:paraId="573DE188" w14:textId="77777777" w:rsidTr="000218C5">
        <w:trPr>
          <w:trHeight w:val="397"/>
        </w:trPr>
        <w:tc>
          <w:tcPr>
            <w:tcW w:w="704" w:type="dxa"/>
            <w:vAlign w:val="center"/>
          </w:tcPr>
          <w:p w14:paraId="41D124C2" w14:textId="77777777" w:rsidR="00197D5A" w:rsidRPr="000E47C0" w:rsidRDefault="00197D5A" w:rsidP="006047EC">
            <w:pPr>
              <w:pStyle w:val="IntenseQuote"/>
              <w:jc w:val="center"/>
            </w:pPr>
            <w:r w:rsidRPr="000E47C0">
              <w:t>10</w:t>
            </w:r>
          </w:p>
        </w:tc>
        <w:tc>
          <w:tcPr>
            <w:tcW w:w="5528" w:type="dxa"/>
            <w:vAlign w:val="center"/>
          </w:tcPr>
          <w:p w14:paraId="0F7BFEF8" w14:textId="77777777" w:rsidR="00197D5A" w:rsidRPr="000E47C0" w:rsidRDefault="00197D5A" w:rsidP="006047EC">
            <w:pPr>
              <w:pStyle w:val="IntenseQuote"/>
            </w:pPr>
            <w:r w:rsidRPr="000E47C0">
              <w:t>Dụng cụ đo độ truyền sáng kính chắn gió</w:t>
            </w:r>
          </w:p>
        </w:tc>
        <w:tc>
          <w:tcPr>
            <w:tcW w:w="1134" w:type="dxa"/>
            <w:vAlign w:val="center"/>
          </w:tcPr>
          <w:p w14:paraId="22F1376D" w14:textId="77777777" w:rsidR="00197D5A" w:rsidRPr="000E47C0" w:rsidRDefault="00197D5A" w:rsidP="006047EC">
            <w:pPr>
              <w:pStyle w:val="IntenseQuote"/>
              <w:jc w:val="center"/>
            </w:pPr>
            <w:r w:rsidRPr="000E47C0">
              <w:t>1</w:t>
            </w:r>
          </w:p>
        </w:tc>
        <w:tc>
          <w:tcPr>
            <w:tcW w:w="1701" w:type="dxa"/>
            <w:vAlign w:val="center"/>
          </w:tcPr>
          <w:p w14:paraId="1AE82771" w14:textId="77777777" w:rsidR="00197D5A" w:rsidRPr="000E47C0" w:rsidRDefault="00197D5A" w:rsidP="000218C5">
            <w:pPr>
              <w:pStyle w:val="IntenseQuote"/>
              <w:jc w:val="center"/>
            </w:pPr>
            <w:r>
              <w:t>Thuộc khoản dự phòng</w:t>
            </w:r>
          </w:p>
        </w:tc>
      </w:tr>
      <w:tr w:rsidR="000E47C0" w:rsidRPr="000E47C0" w14:paraId="7FEF06F2" w14:textId="77777777" w:rsidTr="000218C5">
        <w:trPr>
          <w:trHeight w:val="397"/>
        </w:trPr>
        <w:tc>
          <w:tcPr>
            <w:tcW w:w="704" w:type="dxa"/>
            <w:vAlign w:val="center"/>
          </w:tcPr>
          <w:p w14:paraId="7C02032E" w14:textId="77777777" w:rsidR="00197D5A" w:rsidRPr="000E47C0" w:rsidRDefault="00197D5A" w:rsidP="006047EC">
            <w:pPr>
              <w:pStyle w:val="IntenseQuote"/>
              <w:jc w:val="center"/>
            </w:pPr>
            <w:r w:rsidRPr="000E47C0">
              <w:t>11</w:t>
            </w:r>
          </w:p>
        </w:tc>
        <w:tc>
          <w:tcPr>
            <w:tcW w:w="5528" w:type="dxa"/>
            <w:vAlign w:val="center"/>
          </w:tcPr>
          <w:p w14:paraId="744107AD" w14:textId="77777777" w:rsidR="00197D5A" w:rsidRPr="000E47C0" w:rsidRDefault="00197D5A" w:rsidP="006047EC">
            <w:pPr>
              <w:pStyle w:val="IntenseQuote"/>
            </w:pPr>
            <w:r w:rsidRPr="000E47C0">
              <w:t>Dụng cụ, trang bị bảo vệ an toàn cách điện khi kiểm tra xe điện, xe hybrid điện</w:t>
            </w:r>
          </w:p>
        </w:tc>
        <w:tc>
          <w:tcPr>
            <w:tcW w:w="1134" w:type="dxa"/>
            <w:vAlign w:val="center"/>
          </w:tcPr>
          <w:p w14:paraId="7DD05D5F" w14:textId="77777777" w:rsidR="00197D5A" w:rsidRPr="000E47C0" w:rsidRDefault="00197D5A" w:rsidP="006047EC">
            <w:pPr>
              <w:pStyle w:val="IntenseQuote"/>
              <w:jc w:val="center"/>
            </w:pPr>
            <w:r w:rsidRPr="000E47C0">
              <w:t>1</w:t>
            </w:r>
          </w:p>
        </w:tc>
        <w:tc>
          <w:tcPr>
            <w:tcW w:w="1701" w:type="dxa"/>
            <w:vAlign w:val="center"/>
          </w:tcPr>
          <w:p w14:paraId="3D9B0A83" w14:textId="77777777" w:rsidR="00197D5A" w:rsidRPr="000E47C0" w:rsidRDefault="00197D5A" w:rsidP="000218C5">
            <w:pPr>
              <w:pStyle w:val="IntenseQuote"/>
              <w:jc w:val="center"/>
            </w:pPr>
            <w:r>
              <w:t>Thuộc khoản dự phòng</w:t>
            </w:r>
          </w:p>
        </w:tc>
      </w:tr>
      <w:tr w:rsidR="000E47C0" w:rsidRPr="000E47C0" w14:paraId="04DD3451" w14:textId="77777777" w:rsidTr="000218C5">
        <w:trPr>
          <w:trHeight w:val="397"/>
        </w:trPr>
        <w:tc>
          <w:tcPr>
            <w:tcW w:w="704" w:type="dxa"/>
            <w:vAlign w:val="center"/>
          </w:tcPr>
          <w:p w14:paraId="0FEA7D6F" w14:textId="77777777" w:rsidR="00197D5A" w:rsidRPr="000E47C0" w:rsidRDefault="00197D5A" w:rsidP="006047EC">
            <w:pPr>
              <w:pStyle w:val="IntenseQuote"/>
              <w:jc w:val="center"/>
            </w:pPr>
            <w:r w:rsidRPr="000E47C0">
              <w:t>12</w:t>
            </w:r>
          </w:p>
        </w:tc>
        <w:tc>
          <w:tcPr>
            <w:tcW w:w="5528" w:type="dxa"/>
            <w:vAlign w:val="center"/>
          </w:tcPr>
          <w:p w14:paraId="31DAC731" w14:textId="77777777" w:rsidR="00197D5A" w:rsidRPr="000E47C0" w:rsidRDefault="00197D5A" w:rsidP="006047EC">
            <w:pPr>
              <w:pStyle w:val="IntenseQuote"/>
            </w:pPr>
            <w:r w:rsidRPr="000E47C0">
              <w:t>Thiết bị phân tích khí thải xe mô tô, xe gắn máy; camera AI giám sát kiểm định khí thải</w:t>
            </w:r>
          </w:p>
        </w:tc>
        <w:tc>
          <w:tcPr>
            <w:tcW w:w="1134" w:type="dxa"/>
            <w:vAlign w:val="center"/>
          </w:tcPr>
          <w:p w14:paraId="311881A9" w14:textId="77777777" w:rsidR="00197D5A" w:rsidRPr="000E47C0" w:rsidRDefault="00197D5A" w:rsidP="006047EC">
            <w:pPr>
              <w:pStyle w:val="IntenseQuote"/>
              <w:jc w:val="center"/>
            </w:pPr>
            <w:r w:rsidRPr="000E47C0">
              <w:t>2</w:t>
            </w:r>
          </w:p>
        </w:tc>
        <w:tc>
          <w:tcPr>
            <w:tcW w:w="1701" w:type="dxa"/>
            <w:vAlign w:val="center"/>
          </w:tcPr>
          <w:p w14:paraId="14330897" w14:textId="77777777" w:rsidR="00197D5A" w:rsidRPr="000E47C0" w:rsidRDefault="00197D5A" w:rsidP="000218C5">
            <w:pPr>
              <w:pStyle w:val="IntenseQuote"/>
              <w:jc w:val="center"/>
            </w:pPr>
            <w:r>
              <w:t>Thuộc khoản dự phòng</w:t>
            </w:r>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352CC864" w14:textId="77777777" w:rsidR="00197D5A" w:rsidRPr="000E47C0" w:rsidRDefault="00197D5A" w:rsidP="00197D5A">
      <w:pPr>
        <w:rPr>
          <w:lang w:val="nl-NL"/>
        </w:rPr>
      </w:pPr>
      <w:r w:rsidRPr="000E47C0">
        <w:rPr>
          <w:lang w:val="nl-NL"/>
        </w:rPr>
        <w:t>-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74" w:name="_Toc236064047"/>
      <w:r w:rsidRPr="000E47C0">
        <w:rPr>
          <w:color w:val="auto"/>
        </w:rPr>
        <w:t>VII. CƠ CHẾ HOẠT ĐỘNG, QUẢN LÝ TÀI CHÍNH</w:t>
      </w:r>
      <w:bookmarkEnd w:id="74"/>
    </w:p>
    <w:p w14:paraId="5304179B" w14:textId="77777777" w:rsidR="00197D5A" w:rsidRPr="000E47C0" w:rsidRDefault="00197D5A" w:rsidP="00197D5A">
      <w:pPr>
        <w:pStyle w:val="Heading2"/>
        <w:rPr>
          <w:color w:val="auto"/>
          <w:lang w:val="nl-NL"/>
        </w:rPr>
      </w:pPr>
      <w:bookmarkStart w:id="75" w:name="_Toc236064048"/>
      <w:r w:rsidRPr="000E47C0">
        <w:rPr>
          <w:color w:val="auto"/>
          <w:lang w:val="nl-NL"/>
        </w:rPr>
        <w:t>1. Cơ chế hoạt động</w:t>
      </w:r>
      <w:bookmarkEnd w:id="75"/>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76" w:name="_Toc236064049"/>
      <w:r w:rsidRPr="000E47C0">
        <w:rPr>
          <w:color w:val="auto"/>
          <w:lang w:val="nl-NL"/>
        </w:rPr>
        <w:t>2. Cơ chế tài chính</w:t>
      </w:r>
      <w:bookmarkEnd w:id="76"/>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c) Cơ chế thu phí kiểm định:</w:t>
      </w:r>
      <w:r w:rsidRPr="000E47C0">
        <w:rPr>
          <w:lang w:val="nl-NL"/>
        </w:rPr>
        <w:t xml:space="preserve"> Doanh nghiệp thu phí dịch vụ kiểm định an toàn kỹ thuật và bảo vệ môi trường XCG theo quy định hiện hành.</w:t>
      </w:r>
    </w:p>
    <w:p w14:paraId="12106A50" w14:textId="77777777" w:rsidR="00197D5A" w:rsidRPr="000E47C0" w:rsidRDefault="00197D5A" w:rsidP="00197D5A">
      <w:pPr>
        <w:rPr>
          <w:lang w:val="nl-NL"/>
        </w:rPr>
      </w:pPr>
      <w:r w:rsidRPr="000E47C0">
        <w:rPr>
          <w:b/>
          <w:bCs/>
          <w:lang w:val="nl-NL"/>
        </w:rPr>
        <w:t>d) Nghĩa vụ thuế, phí, lệ phí: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p>
    <w:p w14:paraId="7223F46A" w14:textId="77777777" w:rsidR="00197D5A" w:rsidRPr="000E47C0" w:rsidRDefault="00197D5A" w:rsidP="00197D5A">
      <w:pPr>
        <w:rPr>
          <w:lang w:val="nl-NL"/>
        </w:rPr>
      </w:pPr>
      <w:r w:rsidRPr="000E47C0">
        <w:rPr>
          <w:b/>
          <w:bCs/>
          <w:lang w:val="nl-NL"/>
        </w:rPr>
        <w:t>đ) Phân phối lợi nhuận sau thuế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77" w:name="_Toc238544028"/>
      <w:r w:rsidRPr="000E47C0">
        <w:rPr>
          <w:color w:val="auto"/>
        </w:rPr>
        <w:t>Bảng 16. Cơ cấu phân phối lợi nhuận sau thuế theo tỷ lệ vốn góp</w:t>
      </w:r>
      <w:bookmarkEnd w:id="77"/>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được chia nộp về Trường để sử dụng trả lãi tiền vay, chi phí quản lý, trích lập quỹ cải cách tiền lương và các quỹ khác theo quy định; trường hợp áp dụng cơ chế quản lý vốn nhà nước tại doanh nghiệp, việc thu, nộp lợi nhuận được chia thực hiện theo hướng dẫn của Bộ Tài chính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e) Cơ chế bảo toàn vốn nhà nước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Điều lệ Công ty quy định quyền ưu tiên mua phần vốn góp của Trường khi thành viên khác muốn chuyển nhượng theo Điều 52 Luật Doanh nghiệp ngày 17 tháng 6 năm 2020 (hợp nhất tại Văn bản hợp nhất số 67/VBHN-VPQH ngày 15 tháng 8 năm 2025);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1ACB4B91" w14:textId="77777777" w:rsidR="00197D5A" w:rsidRPr="000E47C0" w:rsidRDefault="00197D5A" w:rsidP="00197D5A">
      <w:pPr>
        <w:rPr>
          <w:lang w:val="nl-NL"/>
        </w:rPr>
      </w:pPr>
      <w:r w:rsidRPr="000E47C0">
        <w:rPr>
          <w:lang w:val="nl-NL"/>
        </w:rPr>
        <w:t>-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p>
    <w:p w14:paraId="15A80FD6" w14:textId="77777777" w:rsidR="00197D5A" w:rsidRPr="000E47C0" w:rsidRDefault="00197D5A" w:rsidP="00197D5A">
      <w:pPr>
        <w:rPr>
          <w:b/>
          <w:bCs/>
          <w:lang w:val="nl-NL"/>
        </w:rPr>
      </w:pPr>
      <w:r w:rsidRPr="000E47C0">
        <w:rPr>
          <w:b/>
          <w:bCs/>
          <w:lang w:val="nl-NL"/>
        </w:rPr>
        <w:t>g) Cơ chế phòng ngừa xung đột lợi ích:</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78" w:name="_Toc236064050"/>
      <w:r w:rsidRPr="000E47C0">
        <w:rPr>
          <w:color w:val="auto"/>
        </w:rPr>
        <w:t>Phần III</w:t>
      </w:r>
      <w:bookmarkEnd w:id="78"/>
    </w:p>
    <w:p w14:paraId="66FB8B26" w14:textId="77777777" w:rsidR="00202E31" w:rsidRPr="000E47C0" w:rsidRDefault="00197D5A" w:rsidP="00197D5A">
      <w:pPr>
        <w:pStyle w:val="Heading4"/>
        <w:rPr>
          <w:color w:val="auto"/>
        </w:rPr>
      </w:pPr>
      <w:bookmarkStart w:id="79" w:name="_Toc236064051"/>
      <w:r w:rsidRPr="000E47C0">
        <w:rPr>
          <w:color w:val="auto"/>
        </w:rPr>
        <w:t>LỘ TRÌNH, CÁC BƯỚC THỰC HIỆN VÀ NHU CẦU KINH PHÍ</w:t>
      </w:r>
      <w:bookmarkEnd w:id="79"/>
      <w:r w:rsidRPr="000E47C0">
        <w:rPr>
          <w:color w:val="auto"/>
        </w:rPr>
        <w:t xml:space="preserve"> </w:t>
      </w:r>
    </w:p>
    <w:p w14:paraId="5B1621DF" w14:textId="77777777" w:rsidR="00197D5A" w:rsidRPr="000E47C0" w:rsidRDefault="00202E31" w:rsidP="00197D5A">
      <w:pPr>
        <w:pStyle w:val="Heading4"/>
        <w:rPr>
          <w:color w:val="auto"/>
        </w:rPr>
      </w:pPr>
      <w:bookmarkStart w:id="80" w:name="_Toc236064052"/>
      <w:r w:rsidRPr="000E47C0">
        <w:rPr>
          <w:color w:val="auto"/>
        </w:rPr>
        <w:t>THỰC HIỆN ĐỀ ÁN</w:t>
      </w:r>
      <w:bookmarkEnd w:id="80"/>
    </w:p>
    <w:p w14:paraId="7B1E4585" w14:textId="77777777" w:rsidR="00197D5A" w:rsidRPr="000E47C0" w:rsidRDefault="00197D5A" w:rsidP="00197D5A">
      <w:pPr>
        <w:pStyle w:val="Heading1"/>
        <w:rPr>
          <w:color w:val="auto"/>
          <w:lang w:val="nl-NL"/>
        </w:rPr>
      </w:pPr>
      <w:r w:rsidRPr="000E47C0">
        <w:rPr>
          <w:color w:val="auto"/>
          <w:lang w:val="nl-NL"/>
        </w:rPr>
        <w:t>I. LỘ TRÌNH, CÁC BƯỚC THỰC HIỆN ĐỀ ÁN</w:t>
      </w:r>
    </w:p>
    <w:p w14:paraId="61B5EC62" w14:textId="77777777" w:rsidR="00197D5A" w:rsidRPr="000218C5" w:rsidRDefault="00197D5A" w:rsidP="00197D5A">
      <w:pPr>
        <w:pStyle w:val="Heading1"/>
        <w:rPr>
          <w:b w:val="0"/>
          <w:bCs w:val="0"/>
          <w:color w:val="auto"/>
          <w:lang w:val="nl-NL"/>
        </w:rPr>
      </w:pPr>
      <w:r w:rsidRPr="000218C5">
        <w:rPr>
          <w:b w:val="0"/>
          <w:bCs w:val="0"/>
          <w:color w:val="auto"/>
          <w:lang w:val="nl-NL"/>
        </w:rPr>
        <w:t>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1B3A5853" w14:textId="77777777" w:rsidR="00197D5A" w:rsidRPr="000218C5" w:rsidRDefault="00197D5A" w:rsidP="00197D5A">
      <w:pPr>
        <w:pStyle w:val="Heading1"/>
        <w:rPr>
          <w:b w:val="0"/>
          <w:bCs w:val="0"/>
          <w:color w:val="auto"/>
          <w:lang w:val="nl-NL"/>
        </w:rPr>
      </w:pPr>
      <w:bookmarkStart w:id="81" w:name="_Toc236064053"/>
      <w:bookmarkEnd w:id="81"/>
      <w:r w:rsidRPr="000218C5">
        <w:rPr>
          <w:b w:val="0"/>
          <w:bCs w:val="0"/>
          <w:color w:val="auto"/>
          <w:lang w:val="nl-NL"/>
        </w:rPr>
        <w:t>Trường hợp cơ quan có thẩm quyền không chấp thuận cơ chế góp vốn bằng tiền thành lập pháp nhân mới hoặc không lựa chọn được nhà đầu tư đáp ứng tiêu chí, nhà trường báo cáo Ủy ban nhân dân tỉnh xem xét chuyển sang phương án liên doanh, liên kết không hình thành pháp nhân mới theo điểm a, điểm b khoản 4 Điều 55 Nghị định số 186/2025/NĐ-CP hoặc dừng thực hiện Đề án; nhà trường không phát sinh nghĩa vụ góp vốn, vay vốn trước khi có quyết định của cấp có thẩm quyền.</w:t>
      </w:r>
    </w:p>
    <w:p w14:paraId="535DF388" w14:textId="77777777" w:rsidR="00197D5A" w:rsidRPr="000E47C0" w:rsidRDefault="00197D5A" w:rsidP="00197D5A">
      <w:pPr>
        <w:pStyle w:val="tnbng"/>
        <w:rPr>
          <w:color w:val="auto"/>
          <w:lang w:val="nl-NL"/>
        </w:rPr>
      </w:pPr>
      <w:bookmarkStart w:id="82" w:name="_Toc238544029"/>
      <w:r w:rsidRPr="000E47C0">
        <w:rPr>
          <w:color w:val="auto"/>
        </w:rPr>
        <w:t>Bảng 17. Lộ trình, các bước thực hiện Đề án</w:t>
      </w:r>
      <w:bookmarkEnd w:id="8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25"/>
        <w:gridCol w:w="1384"/>
        <w:gridCol w:w="1378"/>
        <w:gridCol w:w="1484"/>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Quý IV năm 2026 – Quý I năm 2027</w:t>
            </w:r>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r w:rsidRPr="000E47C0">
              <w:rPr>
                <w:szCs w:val="28"/>
                <w:lang w:eastAsia="vi-VN"/>
              </w:rPr>
              <w:t>Quý I năm 2027</w:t>
            </w:r>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317FCB50" w14:textId="77777777" w:rsidTr="00AF711B">
        <w:tc>
          <w:tcPr>
            <w:tcW w:w="591" w:type="dxa"/>
            <w:vAlign w:val="center"/>
          </w:tcPr>
          <w:p w14:paraId="041EBE9D" w14:textId="77777777" w:rsidR="008E4347" w:rsidRPr="000E47C0" w:rsidRDefault="008E4347" w:rsidP="00202E31">
            <w:pPr>
              <w:widowControl/>
              <w:spacing w:before="0" w:after="0"/>
              <w:ind w:firstLine="0"/>
              <w:jc w:val="center"/>
              <w:rPr>
                <w:szCs w:val="28"/>
                <w:lang w:eastAsia="vi-VN"/>
              </w:rPr>
            </w:pPr>
            <w:r w:rsidRPr="000E47C0">
              <w:rPr>
                <w:szCs w:val="28"/>
                <w:lang w:eastAsia="vi-VN"/>
              </w:rPr>
              <w:t>2.3</w:t>
            </w:r>
          </w:p>
        </w:tc>
        <w:tc>
          <w:tcPr>
            <w:tcW w:w="4225" w:type="dxa"/>
            <w:vAlign w:val="center"/>
          </w:tcPr>
          <w:p w14:paraId="2A8344B5" w14:textId="77777777" w:rsidR="008E4347" w:rsidRPr="000E47C0" w:rsidRDefault="008E4347" w:rsidP="00202E31">
            <w:pPr>
              <w:widowControl/>
              <w:spacing w:before="0" w:after="0"/>
              <w:ind w:firstLine="0"/>
              <w:rPr>
                <w:szCs w:val="28"/>
                <w:lang w:eastAsia="vi-VN"/>
              </w:rPr>
            </w:pPr>
            <w:r w:rsidRPr="000E47C0">
              <w:rPr>
                <w:szCs w:val="28"/>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8EFAC06"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DA7149B" w14:textId="77777777" w:rsidR="008E4347" w:rsidRPr="000E47C0" w:rsidRDefault="008E4347" w:rsidP="00202E31">
            <w:pPr>
              <w:widowControl/>
              <w:spacing w:before="0" w:after="0"/>
              <w:ind w:firstLine="0"/>
              <w:jc w:val="center"/>
              <w:rPr>
                <w:szCs w:val="28"/>
                <w:lang w:eastAsia="vi-VN"/>
              </w:rPr>
            </w:pPr>
            <w:r w:rsidRPr="000E47C0">
              <w:rPr>
                <w:szCs w:val="28"/>
                <w:lang w:eastAsia="vi-VN"/>
              </w:rPr>
              <w:t>UBND tỉnh</w:t>
            </w:r>
          </w:p>
        </w:tc>
        <w:tc>
          <w:tcPr>
            <w:tcW w:w="1484" w:type="dxa"/>
            <w:vMerge/>
            <w:vAlign w:val="center"/>
          </w:tcPr>
          <w:p w14:paraId="3DCE6184" w14:textId="77777777" w:rsidR="008E4347" w:rsidRPr="000E47C0" w:rsidRDefault="008E4347" w:rsidP="00202E31">
            <w:pPr>
              <w:widowControl/>
              <w:spacing w:before="0" w:after="0"/>
              <w:ind w:firstLine="0"/>
              <w:jc w:val="center"/>
              <w:rPr>
                <w:szCs w:val="28"/>
                <w:lang w:eastAsia="vi-VN"/>
              </w:rPr>
            </w:pPr>
            <w:r>
              <w:t>Quý I năm 2027</w:t>
            </w:r>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Các thành viên cử người đại diện theo ủy quyền tham gia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Hội đồng thành viên bầu Chủ tịch Hội đồng thành viên; bổ nhiệm Giám đốc, Phó Giám đốc, Kiểm soát viên theo Điều lệ Công ty.</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r w:rsidRPr="000E47C0">
              <w:rPr>
                <w:szCs w:val="28"/>
                <w:lang w:eastAsia="vi-VN"/>
              </w:rPr>
              <w:t>4.3</w:t>
            </w:r>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Các thành viên góp đủ vốn bằng tiền trong thời hạn 90 ngày kể từ ngày được cấp Giấy chứng nhận đăng ký doanh nghiệp (Điều 47 Luật Doanh nghiệp);</w:t>
            </w:r>
          </w:p>
          <w:p w14:paraId="21EFCCF9" w14:textId="77777777" w:rsidR="00BB1946" w:rsidRPr="000E47C0" w:rsidRDefault="00BB1946" w:rsidP="00202E31">
            <w:pPr>
              <w:widowControl/>
              <w:spacing w:before="0" w:after="0"/>
              <w:ind w:firstLine="0"/>
            </w:pPr>
            <w:r w:rsidRPr="000E47C0">
              <w:t>- Bàn giao mặt bằng theo Đề án sử dụng tài sản công được phê duyệt;</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r w:rsidRPr="000E47C0">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8BB71C8" w14:textId="77777777" w:rsidTr="00AF711B">
        <w:tc>
          <w:tcPr>
            <w:tcW w:w="591" w:type="dxa"/>
            <w:vAlign w:val="center"/>
          </w:tcPr>
          <w:p w14:paraId="0EA7850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7.2</w:t>
            </w:r>
          </w:p>
        </w:tc>
        <w:tc>
          <w:tcPr>
            <w:tcW w:w="4225" w:type="dxa"/>
            <w:vAlign w:val="center"/>
          </w:tcPr>
          <w:p w14:paraId="4BA7CDB0" w14:textId="77777777" w:rsidR="00CA6D62" w:rsidRPr="000E47C0" w:rsidRDefault="00CA6D62" w:rsidP="00202E31">
            <w:pPr>
              <w:widowControl/>
              <w:spacing w:before="0" w:after="0"/>
              <w:ind w:firstLine="0"/>
              <w:rPr>
                <w:szCs w:val="28"/>
                <w:lang w:eastAsia="vi-VN"/>
              </w:rPr>
            </w:pPr>
            <w:r w:rsidRPr="000E47C0">
              <w:rPr>
                <w:szCs w:val="28"/>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7F8AB8D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07E2237E"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 Cục Đăng kiểm Việt Nam</w:t>
            </w:r>
          </w:p>
        </w:tc>
        <w:tc>
          <w:tcPr>
            <w:tcW w:w="1484" w:type="dxa"/>
            <w:vAlign w:val="center"/>
          </w:tcPr>
          <w:p w14:paraId="09785758"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r w:rsidRPr="000E47C0">
              <w:rPr>
                <w:szCs w:val="28"/>
                <w:lang w:eastAsia="vi-VN"/>
              </w:rPr>
              <w:t>Quý III năm 2028</w:t>
            </w:r>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Từ Quý III năm 2028</w:t>
            </w:r>
          </w:p>
        </w:tc>
      </w:tr>
      <w:tr w:rsidR="000E47C0" w:rsidRPr="000E47C0" w14:paraId="05662747" w14:textId="77777777" w:rsidTr="00AF711B">
        <w:tc>
          <w:tcPr>
            <w:tcW w:w="591" w:type="dxa"/>
            <w:vAlign w:val="center"/>
          </w:tcPr>
          <w:p w14:paraId="7A08E2F0"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10</w:t>
            </w:r>
          </w:p>
        </w:tc>
        <w:tc>
          <w:tcPr>
            <w:tcW w:w="4225" w:type="dxa"/>
            <w:vAlign w:val="center"/>
          </w:tcPr>
          <w:p w14:paraId="41F716DC"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3F34D18F"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68583A68" w14:textId="77777777" w:rsidR="00750C96" w:rsidRPr="000E47C0" w:rsidRDefault="00750C96" w:rsidP="00202E31">
            <w:pPr>
              <w:widowControl/>
              <w:spacing w:before="0" w:after="0"/>
              <w:ind w:firstLine="0"/>
              <w:jc w:val="center"/>
              <w:rPr>
                <w:b/>
                <w:bCs/>
                <w:szCs w:val="28"/>
                <w:lang w:eastAsia="vi-VN"/>
              </w:rPr>
            </w:pPr>
            <w:r>
              <w:t>Hội đồng thành viên Công ty</w:t>
            </w:r>
          </w:p>
        </w:tc>
        <w:tc>
          <w:tcPr>
            <w:tcW w:w="1484" w:type="dxa"/>
            <w:vAlign w:val="center"/>
          </w:tcPr>
          <w:p w14:paraId="1BC5915C"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Theo nhu cầu thực tế</w:t>
            </w:r>
          </w:p>
        </w:tc>
      </w:tr>
    </w:tbl>
    <w:p w14:paraId="23E73411" w14:textId="77777777" w:rsidR="00197D5A" w:rsidRPr="000E47C0" w:rsidRDefault="00197D5A" w:rsidP="00197D5A">
      <w:pPr>
        <w:pStyle w:val="Heading1"/>
        <w:rPr>
          <w:color w:val="auto"/>
          <w:lang w:val="nl-NL"/>
        </w:rPr>
      </w:pPr>
      <w:bookmarkStart w:id="87" w:name="_Toc236064054"/>
      <w:r w:rsidRPr="000E47C0">
        <w:rPr>
          <w:color w:val="auto"/>
          <w:lang w:val="nl-NL"/>
        </w:rPr>
        <w:t>II. KINH PHÍ ĐẦU TƯ</w:t>
      </w:r>
      <w:bookmarkEnd w:id="87"/>
    </w:p>
    <w:p w14:paraId="77C5278B" w14:textId="00ED495A" w:rsidR="00197D5A" w:rsidRPr="000E47C0" w:rsidRDefault="00197D5A" w:rsidP="00197D5A">
      <w:pPr>
        <w:rPr>
          <w:lang w:val="nl-NL"/>
        </w:rPr>
      </w:pPr>
      <w:r w:rsidRPr="000E47C0">
        <w:rPr>
          <w:lang w:val="nl-NL"/>
        </w:rPr>
        <w:t>Tổng nhu cầu kinh phí thực hiện giai đoạn 1 của Đề án là 20.456,5 triệu đồng (bằng chữ: Hai mươi tỷ, bốn trăm năm mươi sáu triệu, năm trăm nghìn đồng), trong đó cơ cấu vốn đầu tư được thể hiện tại Bảng 18.</w:t>
      </w:r>
    </w:p>
    <w:p w14:paraId="618B089D" w14:textId="77777777" w:rsidR="00197D5A" w:rsidRPr="000E47C0" w:rsidRDefault="00197D5A" w:rsidP="00197D5A">
      <w:pPr>
        <w:pStyle w:val="tnbng"/>
        <w:rPr>
          <w:color w:val="auto"/>
        </w:rPr>
      </w:pPr>
      <w:bookmarkStart w:id="88" w:name="_Toc238544030"/>
      <w:r w:rsidRPr="000E47C0">
        <w:rPr>
          <w:color w:val="auto"/>
        </w:rPr>
        <w:t>Bảng 18. Cơ cấu vốn đầu tư thành lập Công ty</w:t>
      </w:r>
      <w:bookmarkEnd w:id="88"/>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704"/>
        <w:gridCol w:w="6237"/>
        <w:gridCol w:w="1880"/>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20.405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11.900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r w:rsidRPr="000E47C0">
              <w:rPr>
                <w:i/>
                <w:szCs w:val="20"/>
                <w:lang w:val="vi-VN" w:eastAsia="vi-VN"/>
              </w:rPr>
              <w:t>Nhà xưởng kiểm định 740 m2</w:t>
            </w:r>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Bãi đỗ xe bê tông 2.000 m2 (giai đoạn 1; 2.000 m2 còn lại đầu tư cùng dây chuyền thứ hai)</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01 dây chuyền kiểm định tổng hợp loại I và loại II (giai đoạn 1)</w:t>
            </w:r>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2.820</w:t>
            </w:r>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B5A9B8E" w14:textId="77777777" w:rsidTr="006E5BE0">
        <w:trPr>
          <w:trHeight w:val="454"/>
          <w:jc w:val="center"/>
        </w:trPr>
        <w:tc>
          <w:tcPr>
            <w:tcW w:w="704" w:type="dxa"/>
            <w:vAlign w:val="center"/>
          </w:tcPr>
          <w:p w14:paraId="3AFD9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2.4</w:t>
            </w:r>
          </w:p>
        </w:tc>
        <w:tc>
          <w:tcPr>
            <w:tcW w:w="6237" w:type="dxa"/>
            <w:vAlign w:val="center"/>
          </w:tcPr>
          <w:p w14:paraId="2CF3C64A" w14:textId="77777777" w:rsidR="00197D5A" w:rsidRPr="000E47C0" w:rsidRDefault="00197D5A" w:rsidP="006047EC">
            <w:pPr>
              <w:spacing w:before="0" w:after="0"/>
              <w:ind w:firstLine="0"/>
              <w:rPr>
                <w:i/>
                <w:szCs w:val="20"/>
                <w:lang w:val="vi-VN" w:eastAsia="vi-VN"/>
              </w:rPr>
            </w:pPr>
            <w:r w:rsidRPr="000E47C0">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1F0AC5FF"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2.980</w:t>
            </w:r>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1.855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51,5</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42,8</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20.456,5</w:t>
            </w:r>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89" w:name="_Toc236064055"/>
      <w:r w:rsidRPr="000E47C0">
        <w:rPr>
          <w:color w:val="auto"/>
        </w:rPr>
        <w:t>Phần IV</w:t>
      </w:r>
      <w:bookmarkEnd w:id="89"/>
    </w:p>
    <w:p w14:paraId="5C805BEB" w14:textId="77777777" w:rsidR="00197D5A" w:rsidRPr="000E47C0" w:rsidRDefault="00197D5A" w:rsidP="00197D5A">
      <w:pPr>
        <w:pStyle w:val="Heading4"/>
        <w:spacing w:after="360"/>
        <w:rPr>
          <w:color w:val="auto"/>
        </w:rPr>
      </w:pPr>
      <w:bookmarkStart w:id="90" w:name="_Toc236064056"/>
      <w:r w:rsidRPr="000E47C0">
        <w:rPr>
          <w:color w:val="auto"/>
        </w:rPr>
        <w:t>ĐÁNH GIÁ HIỆU QUẢ ĐẦU TƯ, TÍNH BỀN VỮNG VÀ QUẢN TRỊ NHỮNG RỦI RO CỦA ĐỀ ÁN</w:t>
      </w:r>
      <w:bookmarkEnd w:id="90"/>
    </w:p>
    <w:p w14:paraId="43533903" w14:textId="77777777" w:rsidR="00197D5A" w:rsidRPr="000E47C0" w:rsidRDefault="00197D5A" w:rsidP="00197D5A">
      <w:pPr>
        <w:pStyle w:val="Heading1"/>
        <w:rPr>
          <w:color w:val="auto"/>
          <w:lang w:val="nl-BE"/>
        </w:rPr>
      </w:pPr>
      <w:bookmarkStart w:id="91" w:name="_Toc236064057"/>
      <w:r w:rsidRPr="000E47C0">
        <w:rPr>
          <w:color w:val="auto"/>
          <w:lang w:val="nl-BE"/>
        </w:rPr>
        <w:t>I. HIỆU QUẢ KINH TẾ</w:t>
      </w:r>
      <w:bookmarkEnd w:id="91"/>
    </w:p>
    <w:p w14:paraId="6ABEFE7B" w14:textId="77777777" w:rsidR="00197D5A" w:rsidRPr="000E47C0" w:rsidRDefault="00197D5A" w:rsidP="00197D5A">
      <w:pPr>
        <w:pStyle w:val="Heading2"/>
        <w:rPr>
          <w:color w:val="auto"/>
          <w:lang w:val="nl-BE"/>
        </w:rPr>
      </w:pPr>
      <w:bookmarkStart w:id="92" w:name="_Toc236064058"/>
      <w:r w:rsidRPr="000E47C0">
        <w:rPr>
          <w:color w:val="auto"/>
          <w:lang w:val="nl-BE"/>
        </w:rPr>
        <w:t>1. Về kinh tế</w:t>
      </w:r>
      <w:bookmarkEnd w:id="92"/>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r w:rsidRPr="000E47C0">
        <w:rPr>
          <w:color w:val="auto"/>
          <w:lang w:val="nl-BE"/>
        </w:rPr>
        <w:t>2. Hiệu quả về tài chính (ước tính)</w:t>
      </w:r>
    </w:p>
    <w:p w14:paraId="5E0E8135" w14:textId="77777777" w:rsidR="00197D5A" w:rsidRPr="000E47C0" w:rsidRDefault="00197D5A" w:rsidP="00197D5A">
      <w:pPr>
        <w:pStyle w:val="Heading2"/>
        <w:rPr>
          <w:color w:val="auto"/>
          <w:lang w:val="nl-BE"/>
        </w:rPr>
      </w:pPr>
      <w:bookmarkStart w:id="93" w:name="_Toc236064059"/>
      <w:bookmarkEnd w:id="93"/>
      <w:r w:rsidRPr="000E47C0">
        <w:rPr>
          <w:color w:val="auto"/>
          <w:lang w:val="nl-BE"/>
        </w:rPr>
        <w:t>[Phương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94" w:name="_Toc238544031"/>
      <w:r w:rsidRPr="000E47C0">
        <w:rPr>
          <w:color w:val="auto"/>
        </w:rPr>
        <w:t>Bảng 19. Cơ sở dự báo doanh thu</w:t>
      </w:r>
      <w:bookmarkEnd w:id="9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01 dây chuyền kiểm định tổng hợp (giai đoạn 1)</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1 × 48 × 26 × 12 = 14.976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r w:rsidRPr="000E47C0">
              <w:rPr>
                <w:iCs/>
                <w:szCs w:val="20"/>
                <w:lang w:val="vi-VN" w:eastAsia="vi-VN"/>
              </w:rPr>
              <w:t>316.500 đ/lượt (bình quân các loại xe, chưa bao gồm thuế GTGT; cơ sở đăng kiểm tự định giá không cao hơn giá tối đa do Bộ trưởng Bộ Xây dựng quyết định theo khoản 1, khoản 2 Điều 3 Thông tư số 40/2025/TT-BXD)</w:t>
            </w:r>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Năm 1: 70% → Năm 2: 80% → Năm 3–5: 90% → Năm 6 trở đi: tăng trưởng 10%/năm, không vượt công suất 14.976 lượt/năm</w:t>
            </w:r>
          </w:p>
        </w:tc>
      </w:tr>
      <w:tr w:rsidR="000E47C0" w:rsidRPr="000E47C0" w14:paraId="0B2E2D31" w14:textId="77777777" w:rsidTr="006047EC">
        <w:tc>
          <w:tcPr>
            <w:tcW w:w="3600" w:type="dxa"/>
            <w:vAlign w:val="center"/>
          </w:tcPr>
          <w:p w14:paraId="6D7FBA5F" w14:textId="77777777" w:rsidR="00197D5A" w:rsidRPr="000E47C0" w:rsidRDefault="00197D5A" w:rsidP="006047EC">
            <w:pPr>
              <w:spacing w:before="0" w:after="0"/>
              <w:ind w:firstLine="0"/>
              <w:rPr>
                <w:iCs/>
                <w:szCs w:val="20"/>
                <w:lang w:val="vi-VN" w:eastAsia="vi-VN"/>
              </w:rPr>
            </w:pPr>
            <w:r w:rsidRPr="000E47C0">
              <w:rPr>
                <w:iCs/>
                <w:szCs w:val="20"/>
                <w:lang w:val="vi-VN" w:eastAsia="vi-VN"/>
              </w:rPr>
              <w:t>Doanh thu dịch vụ bổ sung (ước tính)</w:t>
            </w:r>
          </w:p>
        </w:tc>
        <w:tc>
          <w:tcPr>
            <w:tcW w:w="5467" w:type="dxa"/>
            <w:vAlign w:val="center"/>
          </w:tcPr>
          <w:p w14:paraId="581DD2D5" w14:textId="77777777" w:rsidR="00197D5A" w:rsidRPr="000E47C0" w:rsidRDefault="00197D5A" w:rsidP="006047EC">
            <w:pPr>
              <w:spacing w:before="0" w:after="0"/>
              <w:ind w:firstLine="0"/>
              <w:rPr>
                <w:iCs/>
                <w:szCs w:val="20"/>
                <w:lang w:val="vi-VN" w:eastAsia="vi-VN"/>
              </w:rPr>
            </w:pPr>
            <w:r w:rsidRPr="000E47C0">
              <w:rPr>
                <w:iCs/>
                <w:szCs w:val="20"/>
                <w:lang w:val="vi-VN" w:eastAsia="vi-VN"/>
              </w:rPr>
              <w:t>(1)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400 giờ/năm × 750.000 đ/giờ (khoản chi của Trường từ kinh phí đào tạo, thực hiện qua hợp đồng theo giá thị trường, thay cho chi thuê cơ sở thực hành bên ngoài); (3) Chứng nhận cải tạo xe cơ giới: 150 lượt/năm × hiệu suất × 1,5 triệu đ/lượt; (4) Dịch vụ phụ trợ (kỹ thuật trước kiểm định, tư vấn, căng tin, quầy trưng bày): 5% doanh thu kiểm định</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Chi tiền lương: Tiền lương của NLĐ của Công ty được áp dụng theo hình thức khoán đối với 11 vị trí việc làm (giai đoạn 1), quỹ lương khoán gắn với doanh thu. Tổng số lương và các khoản đóng góp theo lương trong 03 năm đầu là 2.401 triệu đồng/năm; từ năm thứ 4, quỹ lương tăng, giảm cùng tỷ lệ với tổng doanh thu so với năm thứ 3.</w:t>
      </w:r>
      <w:r w:rsidRPr="000E47C0">
        <w:rPr>
          <w:i/>
        </w:rPr>
        <w:t xml:space="preserve"> </w:t>
      </w:r>
    </w:p>
    <w:p w14:paraId="65159278" w14:textId="77777777" w:rsidR="00197D5A" w:rsidRPr="000E47C0" w:rsidRDefault="00197D5A" w:rsidP="00197D5A">
      <w:pPr>
        <w:rPr>
          <w:lang w:val="nl-BE"/>
        </w:rPr>
      </w:pPr>
      <w:r w:rsidRPr="000E47C0">
        <w:rPr>
          <w:lang w:val="nl-BE"/>
        </w:rPr>
        <w:t xml:space="preserve">- Chi khấu hao tài sản, thiết bị: Khấu hao được tính cho hạng mục nhà xưởng và thiết bị. </w:t>
      </w:r>
      <w:r w:rsidRPr="000E47C0">
        <w:rPr>
          <w:lang w:val="nl-BE"/>
        </w:rPr>
        <w:t xml:space="preserve">Tài sản do Công ty đầu tư bằng vốn góp là tài sản của doanh nghiệp, không thuộc phạm vi điều chỉnh của Nghị định số 178/2026/NĐ-CP ngày 20 tháng 5 năm 2026 của Chính phủ quy định việc quản lý, sử dụng và khai thác tài sản kết cấu hạ tầng do Nhà nước đầu tư, quản lý (điểm a khoản 2 Điều 1) và Thông tư số 151/2026/TT-BTC ngày 09 tháng 10 năm 2026 của Bộ trưởng Bộ Tài chính quy định chế độ quản lý, tính hao mòn, trích khấu hao tài sản kết cấu hạ tầng do Nhà nước đầu tư, quản lý (điểm a khoản 2 Điều 1); việc trích khấu hao thực hiện theo chế độ quản lý, sử dụng và trích khấu hao tài sản cố định của doanh nghiệp (Thông tư số 45/2013/TT-BTC ngày 25 tháng 4 năm 2013 của Bộ trưởng Bộ Tài chính, đã được sửa đổi, bổ sung). Thời gian khấu hao dự kiến</w:t>
      </w:r>
      <w:r w:rsidRPr="000E47C0">
        <w:rPr>
          <w:lang w:val="nl-BE"/>
        </w:rPr>
        <w:t xml:space="preserve"> </w:t>
      </w:r>
      <w:r w:rsidRPr="000E47C0">
        <w:rPr>
          <w:lang w:val="nl-BE"/>
        </w:rPr>
        <w:t xml:space="preserve">đối với nhà xưởng là 10 năm – Tỷ lệ khấu hao 10%/năm</w:t>
      </w:r>
      <w:r w:rsidRPr="000E47C0">
        <w:rPr>
          <w:lang w:val="nl-BE"/>
        </w:rPr>
        <w:t xml:space="preserve"> </w:t>
      </w:r>
      <w:r w:rsidRPr="000E47C0">
        <w:rPr>
          <w:lang w:val="nl-BE"/>
        </w:rPr>
        <w:t xml:space="preserve">(nhà xưởng kiểm định)</w:t>
      </w:r>
      <w:r w:rsidRPr="000E47C0">
        <w:rPr>
          <w:lang w:val="nl-BE"/>
        </w:rPr>
        <w:t xml:space="preserve">; thiết bị kiểm định là 10 năm – </w:t>
      </w:r>
      <w:r w:rsidRPr="000E47C0">
        <w:rPr>
          <w:lang w:val="nl-BE"/>
        </w:rPr>
        <w:t xml:space="preserve">Tỷ lệ khấu hao 10%/năm (máy móc, thiết bị chuyên dùng)</w:t>
      </w:r>
      <w:r w:rsidRPr="000E47C0">
        <w:rPr>
          <w:lang w:val="nl-BE"/>
        </w:rPr>
        <w:t xml:space="preserve">; </w:t>
      </w:r>
      <w:r w:rsidRPr="000E47C0">
        <w:rPr>
          <w:lang w:val="nl-BE"/>
        </w:rPr>
        <w:t xml:space="preserve">thiết bị văn phòng là 8 năm – Tỷ lệ khấu hao 12,5%/năm</w:t>
      </w:r>
      <w:r w:rsidRPr="000E47C0">
        <w:rPr>
          <w:lang w:val="nl-BE"/>
        </w:rPr>
        <w:t xml:space="preserve">.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20/2026/NĐ-CP ngày 15/01/2026 của Chính phủ Quy định chi tiết và hướng dẫn thi hành một số điều của Nghị quyết số 198/2025/QH15 ngày 17 tháng 5 năm 2025 của Quốc hội về một số cơ chế, chính sách đặc biệt phát triển kinh tế tư nhân thì Công ty là doanh nghiệp nhỏ và vừa thành lập mới (nếu đáp ứng điều kiện) được miễn thuế thu nhập doanh nghiệp trong 03 năm kể từ năm được cấp Giấy chứng nhận đăng ký doanh nghiệp lần đầu (dự kiến từ năm 2027); hết thời gian miễn, áp dụng thuế suất 17% theo khoản 3 Điều 10 Luật Thuế thu nhập doanh nghiệp nếu tổng doanh thu năm trước liền kề từ trên 03 tỷ đồng đến không quá 50 tỷ đồng. Để thận trọng, phương án tài chính tạm tính theo thuế suất 20%; điều kiện miễn thuế đối với doanh nghiệp có vốn góp của đơn vị sự nghiệp công lập được xác định theo hướng dẫn của cơ quan thuế.</w:t>
      </w:r>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10 năm đầu hoạt động</w:t>
      </w:r>
    </w:p>
    <w:p w14:paraId="067E65DD" w14:textId="77777777" w:rsidR="00197D5A" w:rsidRPr="000E47C0" w:rsidRDefault="00197D5A" w:rsidP="00197D5A">
      <w:pPr>
        <w:pStyle w:val="tnbng"/>
        <w:rPr>
          <w:color w:val="auto"/>
        </w:rPr>
      </w:pPr>
      <w:bookmarkStart w:id="95" w:name="_Toc238544032"/>
      <w:r w:rsidRPr="000E47C0">
        <w:rPr>
          <w:color w:val="auto"/>
        </w:rPr>
        <w:t>Bảng 20. Bảng tính phương án tài chính 10 năm đầu hoạt động</w:t>
      </w:r>
      <w:bookmarkEnd w:id="95"/>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008"/>
        <w:gridCol w:w="1206"/>
        <w:gridCol w:w="1206"/>
        <w:gridCol w:w="1206"/>
        <w:gridCol w:w="711"/>
        <w:gridCol w:w="711"/>
        <w:gridCol w:w="711"/>
        <w:gridCol w:w="711"/>
        <w:gridCol w:w="711"/>
        <w:gridCol w:w="711"/>
        <w:gridCol w:w="821"/>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3.941</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4.462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5.332</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5.382</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5.432</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5.900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kiểm định xe cơ giới</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3.318</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3.792</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4.693</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r>
      <w:tr w:rsidR="000E47C0" w:rsidRPr="000E47C0" w14:paraId="09CDD8F9" w14:textId="77777777" w:rsidTr="00AB7547">
        <w:trPr>
          <w:trHeight w:val="284"/>
          <w:jc w:val="center"/>
        </w:trPr>
        <w:tc>
          <w:tcPr>
            <w:tcW w:w="0" w:type="auto"/>
            <w:noWrap/>
            <w:vAlign w:val="center"/>
            <w:hideMark/>
          </w:tcPr>
          <w:p w14:paraId="0588754A"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2</w:t>
            </w:r>
          </w:p>
        </w:tc>
        <w:tc>
          <w:tcPr>
            <w:tcW w:w="1186" w:type="dxa"/>
            <w:vAlign w:val="center"/>
            <w:hideMark/>
          </w:tcPr>
          <w:p w14:paraId="5F084C1B"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dịch vụ bổ sung (ước tính, Bảng 19)</w:t>
            </w:r>
          </w:p>
        </w:tc>
        <w:tc>
          <w:tcPr>
            <w:tcW w:w="821" w:type="dxa"/>
            <w:tcBorders>
              <w:top w:val="nil"/>
              <w:left w:val="nil"/>
              <w:bottom w:val="single" w:sz="4" w:space="0" w:color="auto"/>
              <w:right w:val="single" w:sz="4" w:space="0" w:color="auto"/>
            </w:tcBorders>
            <w:vAlign w:val="center"/>
            <w:hideMark/>
          </w:tcPr>
          <w:p w14:paraId="5C5C98C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623</w:t>
            </w:r>
          </w:p>
        </w:tc>
        <w:tc>
          <w:tcPr>
            <w:tcW w:w="0" w:type="auto"/>
            <w:tcBorders>
              <w:top w:val="nil"/>
              <w:left w:val="nil"/>
              <w:bottom w:val="single" w:sz="4" w:space="0" w:color="auto"/>
              <w:right w:val="single" w:sz="4" w:space="0" w:color="auto"/>
            </w:tcBorders>
            <w:vAlign w:val="center"/>
            <w:hideMark/>
          </w:tcPr>
          <w:p w14:paraId="675EC70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670</w:t>
            </w:r>
          </w:p>
        </w:tc>
        <w:tc>
          <w:tcPr>
            <w:tcW w:w="0" w:type="auto"/>
            <w:tcBorders>
              <w:top w:val="nil"/>
              <w:left w:val="nil"/>
              <w:bottom w:val="single" w:sz="4" w:space="0" w:color="auto"/>
              <w:right w:val="single" w:sz="4" w:space="0" w:color="auto"/>
            </w:tcBorders>
            <w:vAlign w:val="center"/>
            <w:hideMark/>
          </w:tcPr>
          <w:p w14:paraId="3A05B66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1.066</w:t>
            </w:r>
          </w:p>
        </w:tc>
        <w:tc>
          <w:tcPr>
            <w:tcW w:w="0" w:type="auto"/>
            <w:tcBorders>
              <w:top w:val="nil"/>
              <w:left w:val="nil"/>
              <w:bottom w:val="single" w:sz="4" w:space="0" w:color="auto"/>
              <w:right w:val="single" w:sz="4" w:space="0" w:color="auto"/>
            </w:tcBorders>
            <w:vAlign w:val="center"/>
            <w:hideMark/>
          </w:tcPr>
          <w:p w14:paraId="0834428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1.116</w:t>
            </w:r>
          </w:p>
        </w:tc>
        <w:tc>
          <w:tcPr>
            <w:tcW w:w="0" w:type="auto"/>
            <w:tcBorders>
              <w:top w:val="nil"/>
              <w:left w:val="nil"/>
              <w:bottom w:val="single" w:sz="4" w:space="0" w:color="auto"/>
              <w:right w:val="single" w:sz="4" w:space="0" w:color="auto"/>
            </w:tcBorders>
            <w:vAlign w:val="center"/>
            <w:hideMark/>
          </w:tcPr>
          <w:p w14:paraId="57E7E63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1.166</w:t>
            </w:r>
          </w:p>
        </w:tc>
        <w:tc>
          <w:tcPr>
            <w:tcW w:w="0" w:type="auto"/>
            <w:tcBorders>
              <w:top w:val="nil"/>
              <w:left w:val="nil"/>
              <w:bottom w:val="single" w:sz="4" w:space="0" w:color="auto"/>
              <w:right w:val="single" w:sz="4" w:space="0" w:color="auto"/>
            </w:tcBorders>
            <w:vAlign w:val="center"/>
            <w:hideMark/>
          </w:tcPr>
          <w:p w14:paraId="7678A5C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1.207</w:t>
            </w:r>
          </w:p>
        </w:tc>
        <w:tc>
          <w:tcPr>
            <w:tcW w:w="0" w:type="auto"/>
            <w:tcBorders>
              <w:top w:val="nil"/>
              <w:left w:val="nil"/>
              <w:bottom w:val="single" w:sz="4" w:space="0" w:color="auto"/>
              <w:right w:val="single" w:sz="4" w:space="0" w:color="auto"/>
            </w:tcBorders>
            <w:vAlign w:val="center"/>
            <w:hideMark/>
          </w:tcPr>
          <w:p w14:paraId="0D7C813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7C74C36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26797D1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821" w:type="dxa"/>
            <w:tcBorders>
              <w:top w:val="nil"/>
              <w:left w:val="nil"/>
              <w:bottom w:val="single" w:sz="4" w:space="0" w:color="auto"/>
              <w:right w:val="single" w:sz="4" w:space="0" w:color="auto"/>
            </w:tcBorders>
            <w:vAlign w:val="center"/>
            <w:hideMark/>
          </w:tcPr>
          <w:p w14:paraId="1DC0D59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4.512</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4.508</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4.530</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4.741</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r>
      <w:tr w:rsidR="000E47C0" w:rsidRPr="000E47C0" w14:paraId="4A7CAF1F" w14:textId="77777777" w:rsidTr="00AB7547">
        <w:trPr>
          <w:trHeight w:val="284"/>
          <w:jc w:val="center"/>
        </w:trPr>
        <w:tc>
          <w:tcPr>
            <w:tcW w:w="0" w:type="auto"/>
            <w:noWrap/>
            <w:vAlign w:val="center"/>
            <w:hideMark/>
          </w:tcPr>
          <w:p w14:paraId="39096BE6"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397D2D2C"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23AC9E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746153E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54DB9CD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081D47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2.423</w:t>
            </w:r>
          </w:p>
        </w:tc>
        <w:tc>
          <w:tcPr>
            <w:tcW w:w="0" w:type="auto"/>
            <w:tcBorders>
              <w:top w:val="nil"/>
              <w:left w:val="nil"/>
              <w:bottom w:val="single" w:sz="4" w:space="0" w:color="auto"/>
              <w:right w:val="single" w:sz="4" w:space="0" w:color="auto"/>
            </w:tcBorders>
            <w:vAlign w:val="center"/>
            <w:hideMark/>
          </w:tcPr>
          <w:p w14:paraId="664791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2.446</w:t>
            </w:r>
          </w:p>
        </w:tc>
        <w:tc>
          <w:tcPr>
            <w:tcW w:w="0" w:type="auto"/>
            <w:tcBorders>
              <w:top w:val="nil"/>
              <w:left w:val="nil"/>
              <w:bottom w:val="single" w:sz="4" w:space="0" w:color="auto"/>
              <w:right w:val="single" w:sz="4" w:space="0" w:color="auto"/>
            </w:tcBorders>
            <w:vAlign w:val="center"/>
            <w:hideMark/>
          </w:tcPr>
          <w:p w14:paraId="62A1F5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2.657</w:t>
            </w:r>
          </w:p>
        </w:tc>
        <w:tc>
          <w:tcPr>
            <w:tcW w:w="0" w:type="auto"/>
            <w:tcBorders>
              <w:top w:val="nil"/>
              <w:left w:val="nil"/>
              <w:bottom w:val="single" w:sz="4" w:space="0" w:color="auto"/>
              <w:right w:val="single" w:sz="4" w:space="0" w:color="auto"/>
            </w:tcBorders>
            <w:vAlign w:val="center"/>
            <w:hideMark/>
          </w:tcPr>
          <w:p w14:paraId="7A4E95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3BEAA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48CD8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821" w:type="dxa"/>
            <w:tcBorders>
              <w:top w:val="nil"/>
              <w:left w:val="nil"/>
              <w:bottom w:val="single" w:sz="4" w:space="0" w:color="auto"/>
              <w:right w:val="single" w:sz="4" w:space="0" w:color="auto"/>
            </w:tcBorders>
            <w:vAlign w:val="center"/>
            <w:hideMark/>
          </w:tcPr>
          <w:p w14:paraId="1A5BB0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27</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(4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18</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-571</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-36</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835</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874</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902</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1.159</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Chi phí vận hành khác (hiệu chuẩn, bảo trì thiết bị, bảo hiểm, phần mềm, kiểm toán; ước tính khoảng 5% doanh thu)</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197</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223</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267</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269</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272</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295</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0 (chuyển lỗ)</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126</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173</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-768</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-259</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568</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576</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504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691</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101</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138</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94</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403</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553</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206</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282</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271</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20.456,5</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1.313</w:t>
            </w:r>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1.808</w:t>
            </w:r>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2.634</w:t>
            </w:r>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2.630</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2.558</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2.745</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58746B9F"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285B3122" w14:textId="77777777" w:rsidR="00197D5A" w:rsidRPr="000E47C0" w:rsidRDefault="00197D5A" w:rsidP="00197D5A">
      <w:pPr>
        <w:rPr>
          <w:lang w:val="nl-BE"/>
        </w:rPr>
      </w:pPr>
      <w:r w:rsidRPr="000E47C0">
        <w:rPr>
          <w:b/>
          <w:bCs/>
          <w:lang w:val="nl-BE"/>
        </w:rPr>
        <w:t>Thời gian miễn thuế tính từ năm cấp Giấy chứng nhận đăng ký doanh nghiệp lần đầu (dự kiến năm 2027) nên năm hoạt động thứ 3 có thể không còn được miễn; tuy nhiên năm này không phát sinh thuế thu nhập doanh nghiệp phải nộp do được chuyển lỗ của năm thứ nhất và năm thứ 2 (ghi "0 (chuyển lỗ)" tại Bảng 20). Lịch thuế chính thức được lập theo kỳ tính thuế từ ngày được cấp Giấy chứng nhận đăng ký doanh nghiệp khi lập dự án đầu tư. Từ năm thứ 4, thuế thu nhập doanh nghiệp tạm tính theo thuế suất 20% (thận trọng).</w:t>
      </w:r>
    </w:p>
    <w:p w14:paraId="4D78BC0B" w14:textId="77777777" w:rsidR="00197D5A" w:rsidRPr="000E47C0" w:rsidRDefault="00197D5A" w:rsidP="00197D5A">
      <w:pPr>
        <w:rPr>
          <w:lang w:val="nl-BE"/>
        </w:rPr>
      </w:pPr>
      <w:r w:rsidRPr="000E47C0">
        <w:rPr>
          <w:b/>
          <w:bCs/>
          <w:lang w:val="nl-BE"/>
        </w:rPr>
        <w:t>Giá dịch vụ kiểm định chưa bao gồm thuế GTGT (khoản 2 Điều 3 Thông tư số 40/2025/TT-BXD); thuế GTGT thu của khách hàng và nộp ngân sách nhà nước theo phương pháp khấu trừ nên không làm giảm doanh thu, lợi nhuận của Công ty. Dòng chi phí vận hành khác (khoảng 5% doanh thu) được tính để bảo đảm thận trọng cho các chi phí hiệu chuẩn, kiểm định thiết bị đo, bảo trì dây chuyền, bảo hiểm tài sản, phần mềm chuyên ngành và kiểm toán độc lập; Phòng Tài chính - Kế toán chi tiết khi lập dự án đầu tư.</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 xml:space="preserve">Lợi nhuận sau thuế và sau khi trích lập các quỹ theo quy định của Luật Doanh nghiệp ngày 17 tháng 6 năm 2020 (hợp nhất tại Văn bản hợp nhất số 67/VBHN-VPQH ngày 15 tháng 8 năm 2025) Điều lệ và Quy chế nội bộ Công ty được phân chia theo đúng tỷ lệ vốn góp thực tế: </w:t>
      </w:r>
      <w:r w:rsidRPr="000E47C0">
        <w:rPr>
          <w:lang w:val="nl-BE"/>
        </w:rPr>
        <w:t>Trường nhận 51% (việc thu, nộp, sử dụng thực hiện theo cơ chế quản lý phần vốn được Bộ Tài chính hướng dẫn), nhà đầu tư nhận 49%</w:t>
      </w:r>
      <w:r w:rsidRPr="000E47C0">
        <w:rPr>
          <w:lang w:val="nl-BE"/>
        </w:rPr>
        <w:t xml:space="preserve">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104" w:name="_Toc238544033"/>
      <w:r w:rsidRPr="000E47C0">
        <w:rPr>
          <w:color w:val="auto"/>
        </w:rPr>
        <w:t>Bảng 21. Phân phối lợi nhuận sau thuế</w:t>
      </w:r>
      <w:bookmarkEnd w:id="10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thứ 4)</w:t>
            </w:r>
          </w:p>
        </w:tc>
        <w:tc>
          <w:tcPr>
            <w:tcW w:w="1411" w:type="dxa"/>
            <w:vAlign w:val="center"/>
          </w:tcPr>
          <w:p w14:paraId="3502F72E" w14:textId="77777777" w:rsidR="00197D5A" w:rsidRPr="000E47C0" w:rsidRDefault="00197D5A" w:rsidP="006047EC">
            <w:pPr>
              <w:pStyle w:val="IntenseQuote"/>
              <w:jc w:val="center"/>
              <w:rPr>
                <w:b/>
                <w:bCs/>
              </w:rPr>
            </w:pPr>
            <w:r w:rsidRPr="000E47C0">
              <w:rPr>
                <w:b/>
                <w:bCs/>
              </w:rPr>
              <w:t>Lợi nhuận nhận (Năm thứ 7, 8)</w:t>
            </w:r>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48</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290</w:t>
            </w:r>
          </w:p>
        </w:tc>
        <w:tc>
          <w:tcPr>
            <w:tcW w:w="3100" w:type="dxa"/>
            <w:vMerge w:val="restart"/>
            <w:vAlign w:val="center"/>
          </w:tcPr>
          <w:p w14:paraId="4C9E50CB" w14:textId="3366A002" w:rsidR="00BB566C" w:rsidRPr="000E47C0" w:rsidRDefault="00BB566C" w:rsidP="00AB7547">
            <w:pPr>
              <w:pStyle w:val="IntenseQuote"/>
            </w:pPr>
            <w:r w:rsidRPr="000E47C0">
              <w:t>Nhà trường và nhà đầu tư được chia lợi nhuận theo tỷ lệ góp vốn, sau khi bù lỗ lũy kế và trích lập quỹ đầu tư phát triển và quỹ dự phòng tài chính (20%); năm thứ 1 đến năm thứ 3 chưa chia lợi nhuận do bù lỗ lũy kế; năm thứ 9, 10 thiết bị văn phòng hết khấu hao, Trường nhận khoảng 313 triệu đồng/năm, nhà đầu tư khoảng 301 triệu đồng/năm</w:t>
            </w:r>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46</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279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94</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570</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105" w:name="_Toc236064060"/>
      <w:r w:rsidRPr="000E47C0">
        <w:rPr>
          <w:color w:val="auto"/>
          <w:lang w:val="nl-BE"/>
        </w:rPr>
        <w:t xml:space="preserve">3. </w:t>
      </w:r>
      <w:r w:rsidRPr="000E47C0">
        <w:rPr>
          <w:color w:val="auto"/>
          <w:lang w:val="vi-VN"/>
        </w:rPr>
        <w:t>Đánh giá sơ bộ hiệu quả của phương án kinh doanh</w:t>
      </w:r>
      <w:bookmarkEnd w:id="105"/>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106" w:name="_Toc238544034"/>
      <w:r w:rsidRPr="000E47C0">
        <w:rPr>
          <w:color w:val="auto"/>
        </w:rPr>
        <w:t xml:space="preserve">Bảng 22. Bảng tính hiệu quả phương án kinh doanh </w:t>
      </w:r>
      <w:r w:rsidRPr="000E47C0">
        <w:rPr>
          <w:color w:val="auto"/>
        </w:rPr>
        <w:t>năm hoạt động thứ nhất (12 tháng kể từ Quý III năm 2028)</w:t>
      </w:r>
      <w:bookmarkEnd w:id="106"/>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hoạt động thứ nhất (12 tháng kể từ Quý III/2028)</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3.941</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2.458</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Chi phí vận hành khác (hiệu chuẩn, bảo trì thiết bị, bảo hiểm, phần mềm, kiểm toán) và thuế TNDN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197</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2.054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 năm thứ nhất lỗ, chưa chia lợi nhuận</w:t>
            </w:r>
          </w:p>
          <w:p w14:paraId="4DF8D73E" w14:textId="377A228B" w:rsidR="00AB7547" w:rsidRPr="000E47C0" w:rsidRDefault="00AB7547" w:rsidP="00AB7547">
            <w:pPr>
              <w:widowControl/>
              <w:spacing w:before="0" w:after="0"/>
              <w:ind w:firstLine="0"/>
              <w:rPr>
                <w:sz w:val="26"/>
                <w:szCs w:val="26"/>
              </w:rPr>
            </w:pP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-768</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Tỷ trọng nguồn thu Trường được hưởng từ liên doanh, liên kết (lợi nhuận được chia) trong tổng nguồn thu sự nghiệp; năm thứ nhất Công ty lỗ, chưa chia lợi nhuận</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r w:rsidRPr="000E47C0">
              <w:rPr>
                <w:sz w:val="26"/>
                <w:szCs w:val="26"/>
              </w:rPr>
              <w:t>0</w:t>
            </w:r>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(0 triệu đồng *100/8)</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p>
        </w:tc>
      </w:tr>
    </w:tbl>
    <w:p w14:paraId="4930A854" w14:textId="20F6DEE8" w:rsidR="00AB7547" w:rsidRPr="000E47C0" w:rsidRDefault="00AB7547" w:rsidP="00AB7547">
      <w:pPr>
        <w:shd w:val="clear" w:color="auto" w:fill="FFFFFF"/>
        <w:rPr>
          <w:szCs w:val="28"/>
          <w:lang w:val="vi"/>
        </w:rPr>
      </w:pPr>
      <w:r w:rsidRPr="000E47C0">
        <w:rPr>
          <w:szCs w:val="28"/>
          <w:lang w:val="vi"/>
        </w:rPr>
        <w:t>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504–767 triệu đồng/năm. Lỗ lũy kế được bù đắp từ lợi nhuận năm thứ 3 và năm thứ 4; Trường bắt đầu được chia lợi nhuận từ năm thứ 4.</w:t>
      </w:r>
    </w:p>
    <w:p w14:paraId="6AB67162" w14:textId="71600031" w:rsidR="00AB7547" w:rsidRPr="000E47C0" w:rsidRDefault="00AB7547" w:rsidP="00AB7547">
      <w:pPr>
        <w:shd w:val="clear" w:color="auto" w:fill="FFFFFF"/>
        <w:rPr>
          <w:szCs w:val="28"/>
          <w:lang w:val="vi"/>
        </w:rPr>
      </w:pPr>
      <w:r w:rsidRPr="000E47C0">
        <w:rPr>
          <w:szCs w:val="28"/>
          <w:lang w:val="vi"/>
        </w:rPr>
        <w:t xml:space="preserve">Căn cứ bảng phân tích tài chính 10 năm đầu hoạt động, khi đã đi vào ổn định (từ năm thứ 7), dự kiến lợi nhuận Trường được chia khoảng 290–313 triệu đồng/năm; khi lưu lượng thực tế đạt ngưỡng đầu tư dây chuyền thứ hai, doanh thu và lợi nhuận tăng tương ứng,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Dự kiến thời gian hoàn vốn đầu tư của Đề án khoảng 8,5 năm cho nguồn vốn đầu tư giai đoạn 1 là 20.456,5 triệu đồng. Đây là thời gian hoàn vốn giản đơn của dòng tiền dự án (lợi nhuận sau thuế cộng khấu hao), chưa tính chiết khấu dòng tiền; thời gian thu hồi vốn góp của từng thành viên phụ thuộc lợi nhuận được chia và phương án xử lý vốn khi kết thúc, được xác định cụ thể trong dự án đầu tư và Điều lệ Công ty.</w:t>
      </w:r>
    </w:p>
    <w:p w14:paraId="2BD2D1E8" w14:textId="77777777" w:rsidR="00197D5A" w:rsidRPr="000E47C0" w:rsidRDefault="00AB7547" w:rsidP="00AB7547">
      <w:pPr>
        <w:shd w:val="clear" w:color="auto" w:fill="FFFFFF"/>
        <w:rPr>
          <w:i/>
          <w:iCs/>
          <w:szCs w:val="28"/>
        </w:rPr>
      </w:pPr>
      <w:r w:rsidRPr="000E47C0">
        <w:rPr>
          <w:szCs w:val="28"/>
          <w:lang w:val="vi"/>
        </w:rPr>
        <w:t xml:space="preserve">Phân tích độ nhạy (giữ nguyên chi phí tiền lương, khấu hao, chi phí hoạt động; chi phí vận hành khác bằng 5% doanh thu; thuế suất 20%; chuyển lỗ tối đa 05 năm): </w:t>
      </w:r>
      <w:r w:rsidRPr="000E47C0">
        <w:rPr>
          <w:szCs w:val="28"/>
          <w:lang w:val="vi"/>
        </w:rPr>
        <w:t>Doanh thu tăng 10% (phép thử về giá, dịch vụ bổ sung; không vượt công suất 14.976 lượt/năm) thì thời gian hoàn vốn khoảng 7,4 năm</w:t>
      </w:r>
      <w:r w:rsidRPr="000E47C0">
        <w:rPr>
          <w:szCs w:val="28"/>
          <w:lang w:val="vi"/>
        </w:rPr>
        <w:t>; doanh thu giảm 10% thì chưa hoàn vốn trong 10 năm đầu (</w:t>
      </w:r>
      <w:r w:rsidRPr="000E47C0">
        <w:rPr>
          <w:szCs w:val="28"/>
          <w:lang w:val="vi"/>
        </w:rPr>
        <w:t>lũy kế dòng tiền khoảng 20.419 triệu đồng, thiếu khoảng 38 triệu đồng</w:t>
      </w:r>
      <w:r w:rsidRPr="000E47C0">
        <w:rPr>
          <w:szCs w:val="28"/>
          <w:lang w:val="vi"/>
        </w:rPr>
        <w:t xml:space="preserve">, hoàn vốn khoảng 10 năm); doanh thu giảm 20% thì lũy kế dòng tiền 10 năm </w:t>
      </w:r>
      <w:r w:rsidRPr="000E47C0">
        <w:rPr>
          <w:szCs w:val="28"/>
          <w:lang w:val="vi"/>
        </w:rPr>
        <w:t>khoảng 15.486 triệu đồng (khoảng 76% vốn đầu tư)</w:t>
      </w:r>
      <w:r w:rsidRPr="000E47C0">
        <w:rPr>
          <w:szCs w:val="28"/>
          <w:lang w:val="vi"/>
        </w:rPr>
        <w:t xml:space="preserve">. Sản lượng kiểm định là yếu tố rủi ro chính; Công ty phải có kế hoạch phát triển khách hàng, theo dõi sản lượng hằng quý và phương án điều chỉnh chi phí khi sản lượng thấp hơn kế hoạch. Chi đào tạo tại Bảng 20 (27, 12, 12 triệu đồng) là khoản chi đào tạo ban đầu đã tính trong vốn đầu tư (51,5 triệu đồng, Bảng 18), </w:t>
      </w:r>
      <w:r w:rsidRPr="000E47C0">
        <w:rPr>
          <w:szCs w:val="28"/>
          <w:lang w:val="vi"/>
        </w:rPr>
        <w:t>được ghi nhận vào chi phí các năm đầu nhưng đã chi từ vốn đầu tư ban đầu, nên được cộng lại vào dòng tiền năm thứ 1 đến năm thứ 3 tại Bảng 20 để không tính trùng (thời gian hoàn vốn khoảng 8,45 năm, làm tròn 8,5 năm).</w:t>
      </w:r>
      <w:r w:rsidRPr="000E47C0">
        <w:rPr>
          <w:szCs w:val="28"/>
          <w:lang w:val="vi"/>
        </w:rPr>
        <w:t xml:space="preserve"> Phòng Tài chính - Kế toán lập bảng tính có công thức để kiểm soát các giả định trên khi lập dự án đầu tư.</w:t>
      </w:r>
    </w:p>
    <w:p w14:paraId="3E0C8A85" w14:textId="77777777" w:rsidR="00197D5A" w:rsidRPr="000E47C0" w:rsidRDefault="00197D5A" w:rsidP="00197D5A">
      <w:pPr>
        <w:pStyle w:val="Heading1"/>
        <w:rPr>
          <w:color w:val="auto"/>
          <w:lang w:val="nl-BE"/>
        </w:rPr>
      </w:pPr>
      <w:bookmarkStart w:id="119" w:name="_Toc236064061"/>
      <w:r w:rsidRPr="000E47C0">
        <w:rPr>
          <w:color w:val="auto"/>
          <w:lang w:val="nl-BE"/>
        </w:rPr>
        <w:t>II. HIỆU QUẢ XÃ HỘI, TÁC ĐỘNG MÔI TRƯỜNG VÀ TÍNH BỀN VỮNG CỦA ĐỀ ÁN</w:t>
      </w:r>
      <w:bookmarkEnd w:id="119"/>
    </w:p>
    <w:p w14:paraId="022AF0AE" w14:textId="77777777" w:rsidR="00197D5A" w:rsidRPr="000E47C0" w:rsidRDefault="00197D5A" w:rsidP="00197D5A">
      <w:pPr>
        <w:pStyle w:val="Heading2"/>
        <w:rPr>
          <w:color w:val="auto"/>
          <w:lang w:val="nl-BE"/>
        </w:rPr>
      </w:pPr>
      <w:bookmarkStart w:id="120" w:name="_Toc236064062"/>
      <w:r w:rsidRPr="000E47C0">
        <w:rPr>
          <w:color w:val="auto"/>
          <w:lang w:val="nl-BE"/>
        </w:rPr>
        <w:t>1. Hiệu quả xã hội</w:t>
      </w:r>
      <w:bookmarkEnd w:id="120"/>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121" w:name="_Toc236064063"/>
      <w:r w:rsidRPr="000E47C0">
        <w:rPr>
          <w:color w:val="auto"/>
          <w:lang w:val="nl-BE"/>
        </w:rPr>
        <w:t>2. Tính bền vững của Đề án</w:t>
      </w:r>
      <w:bookmarkEnd w:id="121"/>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122" w:name="_Toc236064064"/>
      <w:r w:rsidRPr="000E47C0">
        <w:rPr>
          <w:color w:val="auto"/>
          <w:lang w:val="nl-NL"/>
        </w:rPr>
        <w:t>3. Đánh giá sơ bộ tác động môi trường theo quy định pháp luật về bảo vệ môi trường</w:t>
      </w:r>
      <w:bookmarkEnd w:id="122"/>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123"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123"/>
    </w:p>
    <w:p w14:paraId="44C1FFBE" w14:textId="77777777" w:rsidR="00197D5A" w:rsidRPr="000E47C0" w:rsidRDefault="00197D5A" w:rsidP="00197D5A">
      <w:pPr>
        <w:pStyle w:val="Heading2"/>
        <w:rPr>
          <w:color w:val="auto"/>
          <w:lang w:val="nl-NL"/>
        </w:rPr>
      </w:pPr>
      <w:bookmarkStart w:id="124" w:name="_Toc236064066"/>
      <w:r w:rsidRPr="000E47C0">
        <w:rPr>
          <w:color w:val="auto"/>
          <w:lang w:val="nl-NL"/>
        </w:rPr>
        <w:t>1. Cấp độ rủi ro</w:t>
      </w:r>
      <w:bookmarkEnd w:id="124"/>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125" w:name="_Toc238544035"/>
      <w:r w:rsidRPr="000E47C0">
        <w:rPr>
          <w:color w:val="auto"/>
        </w:rPr>
        <w:t>Bảng 23. Nhận dạng rủi ro</w:t>
      </w:r>
      <w:bookmarkEnd w:id="125"/>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126" w:name="_Toc236064067"/>
      <w:r w:rsidRPr="000E47C0">
        <w:rPr>
          <w:color w:val="auto"/>
          <w:lang w:val="nl-NL"/>
        </w:rPr>
        <w:t>2. Cơ chế kiểm soát rủi ro</w:t>
      </w:r>
      <w:bookmarkEnd w:id="126"/>
    </w:p>
    <w:p w14:paraId="1636B1B5" w14:textId="77777777" w:rsidR="00197D5A" w:rsidRPr="000E47C0" w:rsidRDefault="00197D5A" w:rsidP="00197D5A">
      <w:pPr>
        <w:pStyle w:val="tnbng"/>
        <w:rPr>
          <w:color w:val="auto"/>
          <w:lang w:val="nl-NL"/>
        </w:rPr>
      </w:pPr>
      <w:bookmarkStart w:id="127" w:name="_Toc238544036"/>
      <w:r w:rsidRPr="000E47C0">
        <w:rPr>
          <w:color w:val="auto"/>
        </w:rPr>
        <w:t>Bảng 24. Cơ chế kiểm soát rủi ro</w:t>
      </w:r>
      <w:bookmarkEnd w:id="12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128" w:name="_Toc236064068"/>
    </w:p>
    <w:p w14:paraId="4725BDAB" w14:textId="77777777" w:rsidR="00197D5A" w:rsidRPr="000E47C0" w:rsidRDefault="00197D5A" w:rsidP="00197D5A">
      <w:pPr>
        <w:pStyle w:val="Heading4"/>
        <w:rPr>
          <w:color w:val="auto"/>
        </w:rPr>
      </w:pPr>
      <w:r w:rsidRPr="000E47C0">
        <w:rPr>
          <w:color w:val="auto"/>
        </w:rPr>
        <w:t>Phần V</w:t>
      </w:r>
      <w:bookmarkEnd w:id="128"/>
    </w:p>
    <w:p w14:paraId="0DEA195F" w14:textId="77777777" w:rsidR="00197D5A" w:rsidRPr="000E47C0" w:rsidRDefault="00197D5A" w:rsidP="00197D5A">
      <w:pPr>
        <w:pStyle w:val="Heading4"/>
        <w:rPr>
          <w:color w:val="auto"/>
        </w:rPr>
      </w:pPr>
      <w:bookmarkStart w:id="129" w:name="_Toc236064069"/>
      <w:r w:rsidRPr="000E47C0">
        <w:rPr>
          <w:color w:val="auto"/>
        </w:rPr>
        <w:t>TỔ CHỨC THỰC HIỆN, KẾT LUẬN VÀ KIẾN NGHỊ</w:t>
      </w:r>
      <w:bookmarkEnd w:id="129"/>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130" w:name="_Toc236064070"/>
      <w:r w:rsidRPr="000E47C0">
        <w:rPr>
          <w:color w:val="auto"/>
        </w:rPr>
        <w:t>I. TỔ CHỨC THỰC HIỆN ĐỀ ÁN</w:t>
      </w:r>
      <w:bookmarkEnd w:id="130"/>
    </w:p>
    <w:p w14:paraId="39AA0074" w14:textId="77777777" w:rsidR="00197D5A" w:rsidRPr="000E47C0" w:rsidRDefault="00197D5A" w:rsidP="00197D5A">
      <w:pPr>
        <w:pStyle w:val="Heading2"/>
        <w:rPr>
          <w:color w:val="auto"/>
        </w:rPr>
      </w:pPr>
      <w:bookmarkStart w:id="131" w:name="_Toc236064071"/>
      <w:r w:rsidRPr="000E47C0">
        <w:rPr>
          <w:color w:val="auto"/>
        </w:rPr>
        <w:t>1. Trường Cao đẳng Kon Tum</w:t>
      </w:r>
      <w:bookmarkEnd w:id="131"/>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132" w:name="_Toc236064072"/>
      <w:r w:rsidRPr="000E47C0">
        <w:rPr>
          <w:color w:val="auto"/>
          <w:lang w:val="nl-BE"/>
        </w:rPr>
        <w:t>2. Công ty TNHH Đăng kiểm Cao đẳng Kon Tum</w:t>
      </w:r>
      <w:bookmarkEnd w:id="132"/>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133" w:name="_Toc236064073"/>
      <w:r w:rsidRPr="000E47C0">
        <w:rPr>
          <w:color w:val="auto"/>
          <w:lang w:val="nl-BE"/>
        </w:rPr>
        <w:t>3. Đề nghị các sở, ban, ngành, cơ quan, đơn vị phối hợp thực hiện</w:t>
      </w:r>
      <w:bookmarkEnd w:id="133"/>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134"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134"/>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 xml:space="preserve">Hướng dẫn, phối hợp với nhà trường </w:t>
      </w:r>
      <w:r w:rsidRPr="000E47C0">
        <w:rPr>
          <w:lang w:val="nl-BE"/>
        </w:rPr>
        <w:t>trong việc cử người đại diện phần vốn, kiểm soát viên (nếu thuộc thẩm quyền) và các chức danh khác</w:t>
      </w:r>
      <w:r w:rsidRPr="000E47C0">
        <w:rPr>
          <w:lang w:val="nl-BE"/>
        </w:rPr>
        <w:t xml:space="preserve">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137" w:name="_Toc236064074"/>
      <w:r w:rsidRPr="000E47C0">
        <w:rPr>
          <w:color w:val="auto"/>
          <w:lang w:val="nl-BE"/>
        </w:rPr>
        <w:t>II</w:t>
      </w:r>
      <w:r w:rsidRPr="000E47C0">
        <w:rPr>
          <w:color w:val="auto"/>
          <w:lang w:val="nl-NL"/>
        </w:rPr>
        <w:t>. KẾT LUẬN VÀ KIẾN NGHỊ</w:t>
      </w:r>
      <w:bookmarkEnd w:id="137"/>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25EA71D7"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w:t>
            </w:r>
            <w:r w:rsidR="00277A92">
              <w:rPr>
                <w:szCs w:val="28"/>
              </w:rPr>
              <w:t>,</w:t>
            </w:r>
            <w:r w:rsidRPr="000E47C0">
              <w:rPr>
                <w:szCs w:val="28"/>
              </w:rPr>
              <w:t xml:space="preserve">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b) Cơ sở 2: Khoa Kinh tế - Nông Lâm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szCs w:val="28"/>
              </w:rPr>
              <w:t>97</w:t>
            </w:r>
            <w:r w:rsidRPr="000E47C0">
              <w:rPr>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168"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5CABD143" w14:textId="77777777" w:rsidR="00197D5A" w:rsidRPr="000E47C0" w:rsidRDefault="00197D5A" w:rsidP="00197D5A">
      <w:pPr>
        <w:rPr>
          <w:b/>
          <w:bCs/>
          <w:iCs/>
          <w:szCs w:val="28"/>
          <w:lang w:val="vi-VN"/>
        </w:rPr>
      </w:pPr>
      <w:r w:rsidRPr="000E47C0">
        <w:rPr>
          <w:b/>
          <w:bCs/>
          <w:iCs/>
          <w:szCs w:val="28"/>
          <w:lang w:val="vi-VN"/>
        </w:rPr>
        <w:t>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168"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p w14:paraId="7511C733" w14:textId="77777777" w:rsidR="00197D5A" w:rsidRPr="000E47C0" w:rsidRDefault="00581EFD" w:rsidP="00197D5A">
      <w:pPr>
        <w:jc w:val="right"/>
        <w:rPr>
          <w:bCs/>
          <w:i/>
          <w:noProof/>
          <w:szCs w:val="28"/>
          <w:lang w:eastAsia="vi-VN"/>
        </w:rPr>
      </w:pPr>
      <w:r w:rsidRPr="000E47C0">
        <w:rPr>
          <w:bCs/>
          <w:i/>
          <w:noProof/>
          <w:szCs w:val="28"/>
          <w:lang w:eastAsia="vi-VN"/>
        </w:rPr>
        <w:t>Biểu giá tại Phụ lục này dùng làm giá tham khảo để ước tính doanh thu; giá cụ thể do Công ty tự định giá, không cao hơn giá tối đa theo quyết định của Bộ trưởng Bộ Xây dựng tại thời điểm hoạt động (khoản 1 Điều 3 Thông tư số 40/2025/TT-BXD).</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cei="http://schemas.microsoft.com/office/word/2026/wordml/cei" xmlns:w16sdtfl="http://schemas.microsoft.com/office/word/2024/wordml/sdtformatlock">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Hoạt động thu phí kiểm định của 01 dây chuyền kiểm định (giai đoạn 1) và doanh thu dịch vụ bổ sung (ước tính theo Bảng 19).</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Số lượng xe kiểm định trong 1 năm: 01 dây chuyền x 48 xe/ngày x 26 ngày/tháng x 12 tháng = 14.976 xe; từ năm thứ 6 tăng 10%/năm, không vượt công suất.</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219"/>
        <w:gridCol w:w="1219"/>
        <w:gridCol w:w="1214"/>
        <w:gridCol w:w="1214"/>
        <w:gridCol w:w="1214"/>
        <w:gridCol w:w="1214"/>
        <w:gridCol w:w="1214"/>
        <w:gridCol w:w="1214"/>
        <w:gridCol w:w="1214"/>
        <w:gridCol w:w="1213"/>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99%</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100%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14.976</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10.483</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11.981</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14.826</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14.976</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3.941</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4.462</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5.332</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5.382</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5.432</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5.900</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5.952</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5.952</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633"/>
        <w:gridCol w:w="2940"/>
        <w:gridCol w:w="1067"/>
        <w:gridCol w:w="1673"/>
        <w:gridCol w:w="2019"/>
        <w:gridCol w:w="1905"/>
        <w:gridCol w:w="2280"/>
        <w:gridCol w:w="2045"/>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20.000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240.000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56.400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296.400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3</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45.000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540.000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126.900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666.900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11</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162.000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1.944.000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456.840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2.400.840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594"/>
        <w:gridCol w:w="1602"/>
        <w:gridCol w:w="1168"/>
        <w:gridCol w:w="1168"/>
        <w:gridCol w:w="1168"/>
        <w:gridCol w:w="1168"/>
        <w:gridCol w:w="1168"/>
        <w:gridCol w:w="1168"/>
        <w:gridCol w:w="1168"/>
        <w:gridCol w:w="115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 (quỹ lương năm 1–3 cố định; từ năm 4 theo tỷ lệ tổng doanh thu so với năm 3)</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1,01</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1,02</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1,11</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1,12</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1,12</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2.401</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2.423</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2.446</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2.657</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2.680</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2.680</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207"/>
        <w:gridCol w:w="1219"/>
        <w:gridCol w:w="1396"/>
        <w:gridCol w:w="940"/>
        <w:gridCol w:w="2274"/>
        <w:gridCol w:w="1509"/>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13.090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Triệu đồng; thiết bị văn phòng khấu hao 08 năm nên từ năm thứ 9 giảm 68,75 triệu đồng/năm)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006"/>
        <w:gridCol w:w="1173"/>
        <w:gridCol w:w="1174"/>
        <w:gridCol w:w="1174"/>
        <w:gridCol w:w="1174"/>
        <w:gridCol w:w="1174"/>
        <w:gridCol w:w="1174"/>
        <w:gridCol w:w="1174"/>
        <w:gridCol w:w="1174"/>
        <w:gridCol w:w="1174"/>
        <w:gridCol w:w="1360"/>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r w:rsidRPr="000E47C0">
              <w:rPr>
                <w:b/>
                <w:bCs/>
                <w:szCs w:val="28"/>
              </w:rPr>
              <w:t>20.405</w:t>
            </w:r>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r w:rsidRPr="000E47C0">
              <w:rPr>
                <w:szCs w:val="28"/>
              </w:rPr>
              <w:t>1.986</w:t>
            </w:r>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r w:rsidRPr="000E47C0">
              <w:rPr>
                <w:szCs w:val="28"/>
              </w:rPr>
              <w:t>1.986</w:t>
            </w:r>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296"/>
        <w:gridCol w:w="1296"/>
        <w:gridCol w:w="1296"/>
        <w:gridCol w:w="1092"/>
        <w:gridCol w:w="1092"/>
        <w:gridCol w:w="1092"/>
        <w:gridCol w:w="1092"/>
        <w:gridCol w:w="1092"/>
        <w:gridCol w:w="1092"/>
        <w:gridCol w:w="1092"/>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3.941</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4.462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5.332</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5.382</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5.432</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5.900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kiểm định xe cơ giới</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3.318</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3.792</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4.693</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r>
      <w:tr w:rsidR="000E47C0" w:rsidRPr="000E47C0" w14:paraId="104CC994" w14:textId="77777777" w:rsidTr="006047EC">
        <w:trPr>
          <w:trHeight w:val="227"/>
        </w:trPr>
        <w:tc>
          <w:tcPr>
            <w:tcW w:w="562" w:type="dxa"/>
            <w:noWrap/>
            <w:vAlign w:val="center"/>
            <w:hideMark/>
          </w:tcPr>
          <w:p w14:paraId="4687ED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7A972C1"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dịch vụ bổ sung (ước tính, Bảng 19)</w:t>
            </w:r>
          </w:p>
        </w:tc>
        <w:tc>
          <w:tcPr>
            <w:tcW w:w="1206" w:type="dxa"/>
            <w:noWrap/>
            <w:vAlign w:val="center"/>
            <w:hideMark/>
          </w:tcPr>
          <w:p w14:paraId="6AA446E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623</w:t>
            </w:r>
          </w:p>
        </w:tc>
        <w:tc>
          <w:tcPr>
            <w:tcW w:w="1092" w:type="dxa"/>
            <w:noWrap/>
            <w:vAlign w:val="center"/>
            <w:hideMark/>
          </w:tcPr>
          <w:p w14:paraId="3B400DB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670</w:t>
            </w:r>
          </w:p>
        </w:tc>
        <w:tc>
          <w:tcPr>
            <w:tcW w:w="1092" w:type="dxa"/>
            <w:noWrap/>
            <w:vAlign w:val="center"/>
            <w:hideMark/>
          </w:tcPr>
          <w:p w14:paraId="235BE9F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1.066</w:t>
            </w:r>
          </w:p>
        </w:tc>
        <w:tc>
          <w:tcPr>
            <w:tcW w:w="1092" w:type="dxa"/>
            <w:noWrap/>
            <w:vAlign w:val="center"/>
            <w:hideMark/>
          </w:tcPr>
          <w:p w14:paraId="182CA9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1.116</w:t>
            </w:r>
          </w:p>
        </w:tc>
        <w:tc>
          <w:tcPr>
            <w:tcW w:w="1092" w:type="dxa"/>
            <w:noWrap/>
            <w:vAlign w:val="center"/>
            <w:hideMark/>
          </w:tcPr>
          <w:p w14:paraId="046C0FD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1.166</w:t>
            </w:r>
          </w:p>
        </w:tc>
        <w:tc>
          <w:tcPr>
            <w:tcW w:w="1092" w:type="dxa"/>
            <w:noWrap/>
            <w:vAlign w:val="center"/>
            <w:hideMark/>
          </w:tcPr>
          <w:p w14:paraId="40A783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1.207</w:t>
            </w:r>
          </w:p>
        </w:tc>
        <w:tc>
          <w:tcPr>
            <w:tcW w:w="1092" w:type="dxa"/>
            <w:noWrap/>
            <w:vAlign w:val="center"/>
            <w:hideMark/>
          </w:tcPr>
          <w:p w14:paraId="7563A65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0AF11A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5EA17B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73FEC80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4.512</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4.530</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4.741</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r>
      <w:tr w:rsidR="000E47C0" w:rsidRPr="000E47C0" w14:paraId="46F96469" w14:textId="77777777" w:rsidTr="006047EC">
        <w:trPr>
          <w:trHeight w:val="227"/>
        </w:trPr>
        <w:tc>
          <w:tcPr>
            <w:tcW w:w="562" w:type="dxa"/>
            <w:noWrap/>
            <w:vAlign w:val="center"/>
            <w:hideMark/>
          </w:tcPr>
          <w:p w14:paraId="6CDDF12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197A5751"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05747D9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6102E8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479B0D3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2255CCB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2.423</w:t>
            </w:r>
          </w:p>
        </w:tc>
        <w:tc>
          <w:tcPr>
            <w:tcW w:w="1092" w:type="dxa"/>
            <w:noWrap/>
            <w:vAlign w:val="center"/>
            <w:hideMark/>
          </w:tcPr>
          <w:p w14:paraId="509C7AD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2.446</w:t>
            </w:r>
          </w:p>
        </w:tc>
        <w:tc>
          <w:tcPr>
            <w:tcW w:w="1092" w:type="dxa"/>
            <w:noWrap/>
            <w:vAlign w:val="center"/>
            <w:hideMark/>
          </w:tcPr>
          <w:p w14:paraId="1E21D1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2.657</w:t>
            </w:r>
          </w:p>
        </w:tc>
        <w:tc>
          <w:tcPr>
            <w:tcW w:w="1092" w:type="dxa"/>
            <w:noWrap/>
            <w:vAlign w:val="center"/>
            <w:hideMark/>
          </w:tcPr>
          <w:p w14:paraId="1265EF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6BB12E5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074C57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16B8B4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(4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18</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-571</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-36</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835</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874</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902</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1.159</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Chi phí vận hành khác (hiệu chuẩn, bảo trì thiết bị, bảo hiểm, phần mềm, kiểm toán; ước tính khoảng 5% doanh thu)</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197</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223</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267</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269</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272</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295</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0 (chuyển lỗ)</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126</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173</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-768</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-259</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568</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576</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504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691</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23</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101</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138</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94</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403</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553</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206</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282</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46</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198</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271</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20.456,5</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r w:rsidRPr="000E47C0">
              <w:rPr>
                <w:szCs w:val="28"/>
              </w:rPr>
              <w:t>1.313</w:t>
            </w:r>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r w:rsidRPr="000E47C0">
              <w:rPr>
                <w:szCs w:val="28"/>
              </w:rPr>
              <w:t>1.808</w:t>
            </w:r>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r w:rsidRPr="000E47C0">
              <w:rPr>
                <w:szCs w:val="28"/>
              </w:rPr>
              <w:t>2.634</w:t>
            </w:r>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2.630</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2.558</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2.745</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8,5</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168"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Luật Bảo vệ môi trường ngày 17 tháng 11 năm 2020 (đã được sửa đổi, bổ sung);</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d) Đối với cộng đồng dân cư</w:t>
      </w:r>
      <w:r w:rsidRPr="000E47C0">
        <w:rPr>
          <w:shd w:val="clear" w:color="auto" w:fill="FFFFFF"/>
          <w:lang w:val="nl-NL"/>
        </w:rPr>
        <w:t>: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 xml:space="preserve">a) Trong giai đoạn chuẩn bị đầu tư: Thực hiện ký kết </w:t>
      </w:r>
      <w:r w:rsidRPr="000E47C0">
        <w:rPr>
          <w:shd w:val="clear" w:color="auto" w:fill="FFFFFF"/>
          <w:lang w:val="nl-NL"/>
        </w:rPr>
        <w:t>hợp đồng bãi đổ</w:t>
      </w:r>
      <w:r w:rsidRPr="000E47C0">
        <w:rPr>
          <w:shd w:val="clear" w:color="auto" w:fill="FFFFFF"/>
          <w:lang w:val="nl-NL"/>
        </w:rPr>
        <w:t xml:space="preserve">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c) Đối với giai đoạn vận hành</w:t>
      </w:r>
      <w:r w:rsidRPr="000E47C0">
        <w:rPr>
          <w:shd w:val="clear" w:color="auto" w:fill="FFFFFF"/>
          <w:lang w:val="nl-NL"/>
        </w:rPr>
        <w:t>: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2C816" w14:textId="77777777" w:rsidR="0035195B" w:rsidRDefault="0035195B">
      <w:r>
        <w:separator/>
      </w:r>
    </w:p>
  </w:endnote>
  <w:endnote w:type="continuationSeparator" w:id="0">
    <w:p w14:paraId="5230AD16" w14:textId="77777777" w:rsidR="0035195B" w:rsidRDefault="0035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4E954" w14:textId="77777777" w:rsidR="0035195B" w:rsidRDefault="0035195B">
      <w:r>
        <w:separator/>
      </w:r>
    </w:p>
  </w:footnote>
  <w:footnote w:type="continuationSeparator" w:id="0">
    <w:p w14:paraId="20DB8748" w14:textId="77777777" w:rsidR="0035195B" w:rsidRDefault="0035195B">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18C5"/>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77A9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5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1F07"/>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w:hAnsi="Times New Roman"/>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22097</Words>
  <Characters>125958</Characters>
  <Application>Microsoft Office Word</Application>
  <DocSecurity>0</DocSecurity>
  <Lines>1049</Lines>
  <Paragraphs>295</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147760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49</cp:revision>
  <dcterms:created xsi:type="dcterms:W3CDTF">2026-08-24T14:49:00Z</dcterms:created>
  <dcterms:modified xsi:type="dcterms:W3CDTF">2026-10-24T13:07:00Z</dcterms:modified>
</cp:coreProperties>
</file>