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Đề án triển khai đào tạo và sát hạch lái xe mô tô hạng A tại Trường Cao đẳng Kon Tum (dự thảo lần 3)</w:t>
      </w:r>
    </w:p>
    <w:p>
      <w:pPr>
        <w:jc w:val="center"/>
      </w:pPr>
      <w:r>
        <w:rPr>
          <w:rFonts w:ascii="Times New Roman" w:hAnsi="Times New Roman"/>
          <w:b w:val="0"/>
          <w:i w:val="0"/>
          <w:sz w:val="26"/>
        </w:rPr>
        <w:t xml:space="preserve">Ngày rà soát: </w:t>
      </w:r>
      <w:r>
        <w:rPr>
          <w:rFonts w:ascii="Times New Roman" w:hAnsi="Times New Roman"/>
          <w:b/>
          <w:i w:val="0"/>
          <w:sz w:val="26"/>
        </w:rPr>
        <w:t>20/09/2026</w:t>
      </w:r>
      <w:r>
        <w:rPr>
          <w:rFonts w:ascii="Times New Roman" w:hAnsi="Times New Roman"/>
          <w:b w:val="0"/>
          <w:i w:val="0"/>
          <w:sz w:val="26"/>
        </w:rPr>
        <w:t xml:space="preserve">  |  Đơn vị soạn thảo: </w:t>
      </w:r>
      <w:r>
        <w:rPr>
          <w:rFonts w:ascii="Times New Roman" w:hAnsi="Times New Roman"/>
          <w:b/>
          <w:i w:val="0"/>
          <w:sz w:val="26"/>
        </w:rPr>
        <w:t>Tổ xây dựng Đề án theo Quyết định số 1944/QĐ-CĐKT</w:t>
      </w:r>
      <w:r>
        <w:rPr>
          <w:rFonts w:ascii="Times New Roman" w:hAnsi="Times New Roman"/>
          <w:b w:val="0"/>
          <w:i w:val="0"/>
          <w:sz w:val="26"/>
        </w:rPr>
        <w:t xml:space="preserve">  |  Thẩm quyền: </w:t>
      </w:r>
      <w:r>
        <w:rPr>
          <w:rFonts w:ascii="Times New Roman" w:hAnsi="Times New Roman"/>
          <w:b/>
          <w:i w:val="0"/>
          <w:sz w:val="26"/>
        </w:rPr>
        <w:t>Hiệu trưởng (phê duyệt Đề án)</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Tệp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De_an_Hang_A_Du_thao_lan_3_bo-sung-TC_20260920.docx (bản gốc De_an_Hang_A_Du_thao_lan_3.docx đã bổ sung số liệu và sửa có Track Changes; rà soát trên nội dung sau khi chấp nhận thay đổi).</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 (Bước 0)</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 văn bản hành chính nhà nước (NĐ 30/2020/NĐ-CP; quy ước Trường theo TB 597/TB-CĐKT; Checklist 01–05, 07, 08). Loại: Đề án (dự thảo, chưa trình ký). Không áp quy tắc QĐ 1976/QĐ-CĐKT là căn cứ đầu tiên vì đây không phải quyết định của Hiệu trưởng.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đối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KTC-Database kho 01 (Luật TTATGT; Luật GDNN; NĐ 94/2026/NĐ-CP; TT 14/2025/TT-BXD; TT 17/2026/TT-BXD; TT 107/2026/TT-BCA kèm QCVN 15:2026/BCA; TT 108/2026/TT-BCA), kho 02 (QĐ 679/QĐ-CĐKT; QĐ 1777/QĐ-CĐKT; QĐ 339/QĐ-UBND). Internet (2 nguồn chính thống của địa phương và Chính phủ): Chỉ thị 23-CT/TW, Chỉ thị 10/CT-TTg.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Hồ sơ đầu vào bổ sung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số 797/TB-CĐKT ngày 09/7/2026 (phương án đào tạo hạng A1); Biên bản kiểm tra ngày 10/7/2026 của Sở Xây dựng (bản quét 7 trang, đọc trực tiếp từ ảnh); Bảng kiểm kê tài sản của Khoa (Excel mẫu C53-HD, chưa hoàn tất).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Kiểm tra DOCX</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Signature ZIP hợp lệ. Lề đo được: Trên 20 mm, dưới 20 mm, trái 30 mm, phải 20 mm (đạt TB 597). Cỡ chữ ở mức run không đo được trực tiếp (định dạng nằm ở style); kiem_the_thuc.py: 0 lỗi Mức 1–2, 2 gợi ý Mức 3. Không dựng được bản in để kiểm trực quan (máy không có LibreOffice) — cần mở bằng Word để kiểm.</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Track Changes</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 Bốn nhóm tác giả: Bổ sung từ hồ sơ đính kèm · Đối chiếu văn bản gốc kho 01 · Sửa theo rà soát 897 · Chuẩn hóa ngày tháng - 897. Từ chối hết thay đổi cho ra đúng bản gốc (doi_chieu_goc: Tỷ lệ khôi phục 0,994; đối chiếu độc lập từng đoạn không thấy chênh lệch nội dung).</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dxa" w:w="14571"/>
        <w:jc w:val="center"/>
        <w:tblLayout w:type="fixed"/>
        <w:tblLook w:firstColumn="1" w:firstRow="1" w:lastColumn="0" w:lastRow="0" w:noHBand="0" w:noVBand="1" w:val="04A0"/>
      </w:tblPr>
      <w:tblGrid>
        <w:gridCol w:w="680"/>
        <w:gridCol w:w="2438"/>
        <w:gridCol w:w="4536"/>
        <w:gridCol w:w="3345"/>
        <w:gridCol w:w="2438"/>
        <w:gridCol w:w="1134"/>
      </w:tblGrid>
      <w:tr>
        <w:trPr>
          <w:cantSplit w:val="0"/>
          <w:tblHeader w:val="1"/>
        </w:trPr>
        <w:tc>
          <w:tcPr>
            <w:tcW w:type="dxa" w:w="68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43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453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 (BẰNG CHỨNG)</w:t>
            </w:r>
          </w:p>
        </w:tc>
        <w:tc>
          <w:tcPr>
            <w:tcW w:type="dxa" w:w="334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43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13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Điều kiện sát hạch hạng A (Phần II mục II.1; Phụ lục I; Phụ lục II)</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 gốc ghi: Sân sát hạch hạng A cần trung tâm loại 2 trở lên (tối thiểu 18.000 m², quãng đường 0,8 km), nguồn luatvietnam.vn, vietq.vn. Văn bản gốc trong kho cho kết quả khác: Hạng A được sát hạch tại trung tâm loại 1, 2, 3 (loại 3: Hạng A1, A, B1) hoặc sân tập lái để sát hạch mô tô loại 1, 2 (loại 2: Hạng A1, A); sân tập lái chỉ cần đủ diện tích bố trí hình các bài sát hạch, không áp ngưỡng 18.000 m². Tổng diện tích sân hiện có khoảng 2.600 m², thấp hơn cả ngưỡng 3.600 m² của trung tâm loại 3.</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bằng Track Changes (Phần II.1, IV.1, Phụ lục I, II). Tổ xây dựng Đề án chọn hướng (a) sân tập lái để sát hạch mô tô hoặc (b) trung tâm sát hạch; xác nhận với Phòng Cảnh sát giao thông Công an tỉnh loại sân hiện đã được chấp thuận cho hạng A1.</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NĐ 94/2026/NĐ-CP: Khoản 4, 5 Điều 3; Điều 31, 32, 33. QCVN 15:2026/BCA: Mục 2.1.5, 2.1.13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còn trống (Phần IV, V, VI; Bảng 1, 3, 4, 5, 7, 9)</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Các mục II. Nhu cầu kinh phí, III. Quản trị rủi ro, I. Tổ chức thực hiện, II. Kết luận và kiến nghị không có nội dung; Bảng 1, 3, 4, 5, 7, 9 và Bảng 8 (cột đơn vị đầu tư) chưa có số liệu. Kinh phí và phương án tài chính là nội dung bắt buộc để Hiệu trưởng quyết định.</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Bổ sung trước khi trình: Dự toán kinh phí theo Bảng 8, phương án tài chính (Phụ lục IV), rủi ro (gồm rủi ro nêu ở Phần V báo cáo này), tổ chức thực hiện, kết luận và kiến nghị.</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02-Noi-Dung mục 2 (Đề án/Kế hoạch: Kinh phí, tổ chức thực hiện); 07-Theo-Loai-Van-Ban</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Nhãn làm việc và nguồn Internet còn trong nội dung</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28 nhãn [DATA-NEEDED], [LEGAL-CHECK], [TECH-CHECK], [CONFIRMED], [DRAFT-DATA], [HISTORICAL], [FINANCE-CHECK]; 10 chỗ ghi 'BBKT_A1'; chỗ trống '…/…/2027' và '……'. Nội dung còn trích nguồn luatvietnam.vn, vietq.vn và 'tra cứu 19/9/2026'. Đây là ghi chú nội bộ, không được có trong bản trình ký.</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Gỡ toàn bộ nhãn sau khi số liệu được chốt; thay 'BBKT_A1' bằng tên đầy đủ của Biên bản kiểm tra ngày 10/7/2026 của Sở Xây dựng; thay nguồn Internet bằng văn bản gốc.</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02-Noi-Dung mục 1 (viện dẫn); Runtime Invariants 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Mâu thuẫn về nguồn vốn đầu tư (Phần I.I, III.I, V.II; Phụ lục IV; Bảng 8)</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Nêu 'không sử dụng ngân sách nhà nước chi cho đầu tư' và 'không phát sinh gánh nặng đầu tư mới ngoài Giai đoạn 1'. Nhưng Phụ lục IV ghi Trường đầu tư sân (Giai đoạn 1) và 50% giá trị thiết bị xe sát hạch; Bảng 8 cần thêm xe sát hạch hạng A, thiết bị chấm điểm, thiết bị tình huống giả định (2028) ngoài Giai đoạn 1.</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Thống nhất một phương án nguồn vốn (nguồn thu sự nghiệp, xã hội hóa, ngân sách) và sửa các câu khẳng định tuyệt đối tương ứng.</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02-Noi-Dung mục 5 dòng 1, 6</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Thông tư 14/2025/TT-BXD (Phần I.II)</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 gốc ghi Thông tư 14/2025/TT-BXD 'đã được sửa đổi, bổ sung một số điều của Thông tư số 14/2025/TT-BXD' (tự dẫn chính nó). Văn bản sửa đổi là Thông tư 17/2026/TT-BXD ngày 29/4/2026 (có trong kho, hiệu lực 01/7/2026).</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'được sửa đổi, bổ sung một số điều bởi Thông tư số 17/2026/TT-BXD ngày 29/4/2026'.</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TT 17/2026/TT-BXD (kho 01-05); 02-Noi-Dung mục 1 dòng 4</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Luật ghi số hiệu (Phần I mục I)</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'Luật Trật tự, an toàn giao thông đường bộ số 36/2024/QH15'. Văn bản hành chính viện dẫn Luật không ghi số hiệu (kiem_vien_dan VD01).</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bỏ 'số 36/2024/QH15' (lần đầu ở Phần I đã ghi tên và ngày).</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NĐ 30/2020/NĐ-CP Phụ lục I; 02-Noi-Dung dòng 4; 17-Quy-Tac-Vien-Dan</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Thủ tục và thời hạn (Phụ lục II)</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 gốc: Báo cáo đăng ký khóa 'nộp trước mỗi khóa' — TT 14/2025 yêu cầu gửi Sở Xây dựng ngay trong ngày khai giảng. Thời hạn cấp giấy phép trung tâm loại 3 ghi 3 + 5 ngày làm việc — NĐ 94/2026 ghi không quá 2 + 3 ngày. 'Không thu phí' không có căn cứ trong kho.</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thời điểm, thời hạn; đánh dấu [LEGAL-CHECK] cho phí. Đã thêm hàng: Chấp thuận sân tập lái mô tô, thông báo phương án hạng A, giấy chứng nhận giáo viên.</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TT 14/2025 điểm c khoản 3 Điều 5; NĐ 94/2026 khoản 2 Điều 28, Điều 33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Nhóm khoảng cách hiện trạng (Phần II mục IV.2)</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Nêu 'ba nhóm' nhưng liệt kê bốn hạn chế (xe, sân, thiết bị, nhà giáo); 'Mục III' được dẫn để phân tích rủi ro không có nội dung đó.</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thành bốn nhóm, thêm nhóm nhân lực; bỏ dẫn chiếu sai.</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02-Noi-Dung mục 5 dòng 2, 6</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Chính tả</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'UỶ BAN' (trang bìa); 'Quãng Ngãi'; hai dấu cách liên tiếp ('Bộ trưởng  Bộ Xây dựng').</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cả ba.</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04-Ngon-Ngu mục 3, 8</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10</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Ngày tháng lẫn hai dạng</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20 chỗ dạng 'ngày 27 tháng 6 năm 2024' và 26 chỗ dạng '27/6/2024' trong cùng văn bản (ngoài ngày ban hành).</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quy về dạng rút gọn, ưu tiên của Trường (20 vị trí). Ngày tháng chưa còn dạng đầy đủ.</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04-Ngon-Ngu mục 7 dòng 1b, 3, 4b</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11</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Đánh số mục và bảng</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Bộ môn: A) rồi c) (nhảy b); mô tô: 'a) Lái xe mô tô' trùng a) của ô tô; hai 'Bảng 3'; Bảng 7 ghi 'giai đoạn 2023-2026' nhưng bảng và mục là 2027–2029; 'tổng hợp tác điều kiện'; 'Phụ lục VI' đứng sau Phụ lục III.</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Chưa sửa: Bảng 4 ghi 'giai đoạn 2023-2026' nhưng bảng chỉ có 2023, 2024, 2025 — thêm dòng 2026 hoặc sửa tiêu đề. Bảng 1 dự kiến cho toàn Khoa vẫn thiếu.</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04-Ngon-Ngu mục 9</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12</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hoa tên đơn vị</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6 chỗ 'Khoa Đào tạo và Sát hạch lái xe' giữa câu; tiêu đề 'khoa ĐT&amp;SHLX' và 'Khoa ĐT&amp;SHLX' không nhất quán.</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Chưa sửa (cần Tổ chọn cách gọi chung). Theo quy ước: 'khoa' viết thường trong câu; viết tắt hành văn 'Khoa ĐT&amp;SHLX' theo bảng mục 3.4.</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08-Quy-Uoc mục 3.1, 3.4</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13</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Cụm từ mơ hồ</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'Các văn bản pháp luật, hành chính khác có liên quan' (căn cứ cuối); 'kịp thời' (2), 'theo quy định' không dẫn văn bản (2), 'khoán kinh phí theo quy định của Trường' không dẫn số hiệu.</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Liệt kê văn bản cụ thể hoặc bỏ; dẫn số hiệu và ngày của quy định khoán kinh phí hạng A1.</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04-Ngon-Ngu mục 5</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14</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Thứ tự căn cứ</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Chỉ thị 10/CT-TTg đứng giữa hai Luật và Nghị định; Thông tư 107 đứng trước 108; Quyết định 1944 (thành lập Tổ) và Báo cáo 393 đứng cuối cùng nhóm với văn bản pháp luật.</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Xếp: Luật &gt; Nghị định &gt; Thông tư; tách nhóm văn bản thẩm quyền và nhóm nội dung; đưa văn bản nội bộ xuống cuối. Chỉ thị 23 và 10 xếp theo nhóm nội dung.</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02-Noi-Dung mục 1 dòng 1, 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15</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Cột 'Theo quy định' của Bảng 6</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'03 xe' và '~700 m²' — đây là số liệu năm 2021, không phải quy định.</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Đổi tên cột hoặc ghi văn bản quy định thật (số xe, số nhà giáo theo NĐ 94/2026).</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02-Noi-Dung mục 5 dòng 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16</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Thể thức tệp</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20 đoạn dùng tên phông 'Times New Roman Bold'; 12 đoạn chữ màu khác đen (gốc có 17). Mục lục có số trang tĩnh.</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Đặt lại phông 'Times New Roman' và màu đen; cập nhật trường mục lục (chuột phải, Update Field) sau khi hoàn thiện.</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Kiem_the_thuc TT03b, TT05; 08-Quy-Uoc mục 4</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17</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Văn bản chưa có trong kho 01–04</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1944/QĐ-CĐKT (15/9/2026), Báo cáo 393/BC-CĐKT (03/9/2026), Quyết định 1557/QĐ-CĐKT (03/7/2026), Báo cáo 116/BC-CĐKT (21/4/2025) và Phương án đầu tư sân (khái toán 13/9/2026, 1,31 tỷ đồng) không tìm thấy trong kho.</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XÁC MINH: Nạp các văn bản này vào KTC-Database hoặc cung cấp bản gốc để đối chiếu số hiệu, ngày, nội dung.</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Runtime Invariants 8</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18</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Hiệu lực của Quyết định 679/QĐ-CĐKT (bổ sung mới)</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679/QĐ-CĐKT (14/7/2023) dựa trên Quy chế tại QĐ 659/QĐ-CĐKT, sau đó bị thay thế qua QĐ 49, 988, 1976; còn nêu Sở Giao thông vận tải là cơ quan hướng dẫn chuyên môn (nay Sở Xây dựng).</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Phòng TCCB&amp;CTHSSV xác nhận còn hiệu lực hay có quy định mới; cập nhật Phần II mục I.1.b.</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08-Quy-Uoc mục 1 (chuỗi QĐ)</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19</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Hiệu lực Chỉ thị 23-CT/TW, Chỉ thị 10/CT-TTg và Luật sửa đổi 118/2025/QH15</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Tồn tại và đúng ngày (tra Internet: Cổng thông tin Chính phủ, Kon Tum, Bình Phước; 20/9/2026). Chưa xác minh còn hiệu lực đến nay. NĐ 94/2026 và TT 107, 108 cùng dẫn Luật TTATGT được sửa đổi bởi Luật 118/2025/QH15; Đề án chưa nêu.</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Xác minh hiệu lực; xem xét bổ sung Luật sửa đổi (chỉ ghi tên và ngày, không ghi số hiệu) — cần tra ngày ban hành.</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03-Phap-Ly; kiem_vien_dan</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20</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Hai con số diện tích khác nhau trong kho</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QCVN 15:2026/BCA mục 2.1.5: Loại 2 ≥ 18.000 m², loại 3 ≥ 3.600 m². NĐ 94/2026 khoản 6 Điều 24: Loại 2 ≥ 20.000 m², loại 3 ≥ 4.000 m². Đề án đã ghi cả hai ở Phần IV.1.</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Hỏi Phòng Cảnh sát giao thông áp dụng số nào trước khi thiết kế (nếu chọn hướng (b)).</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NĐ 94/2026; QCVN 15:2026/BCA</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21</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xã hội hóa và tự chủ tài chính</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Đề án dùng xã hội hóa xe, khoán kinh phí, doanh thu nhưng chưa dẫn căn cứ: NĐ 60/2021 và NĐ 111/2025 (tự chủ tài chính); NĐ 334/2026 (bắt buộc kiểm lại từ 05/10/2026, trước hạn trình 30/10/2026); Luật Quản lý, sử dụng tài sản công và NĐ 186/2025 (cho thuê, liên kết); Quyết định 1777/QĐ-CĐKT ngày 14/8/2026 (danh mục thiết bị chuyên dùng, là mức tối đa) chưa được đối chiếu với Bảng 8.</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Bổ sung căn cứ và kiểm hiệu lực; đối chiếu Bảng 8 với Phụ lục I của Quyết định 1777 (phụ lục không có trong kho).</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Core mục 12, 13</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22</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liệu nguồn còn lệch</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797 ghi xe 'được trang bị mới' nhưng Phụ lục II ghi 9/15 xe sản xuất từ năm 2010 trở về trước; mô tả chủng loại 'trên 50 đến dưới 125 cm³'. Bảng kiểm kê: Ô thời điểm, Ban kiểm kê, chữ ký để trống; 'Nhà vòm nhà điều hành A1' và 'Tủ điều khiển trung tâm' ghi trùng.</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Khoa chốt lại số liệu và hoàn tất biên bản kiểm kê trước khi đưa nguyên giá vào bản chính thức. Đề án hiện đã ghi rõ số kiểm kê chưa hoàn tất.</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Runtime Invariants 8, 11</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68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23</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Nguồn khẳng định về Pleiku (Phần V.II)</w:t>
            </w:r>
          </w:p>
        </w:tc>
        <w:tc>
          <w:tcPr>
            <w:tcW w:type="dxa" w:w="453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tổ chức sát hạch hạng A từ 15/11/2025, tra cứu 19/9/2026' không ghi nguồn cụ thể.</w:t>
            </w:r>
          </w:p>
        </w:tc>
        <w:tc>
          <w:tcPr>
            <w:tcW w:type="dxa" w:w="334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văn bản hoặc trang chính thống; nếu không có thì bỏ ngày cụ thể.</w:t>
            </w:r>
          </w:p>
        </w:tc>
        <w:tc>
          <w:tcPr>
            <w:tcW w:type="dxa" w:w="243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02-Noi-Dung mục 1 (viện dẫn)</w:t>
            </w:r>
          </w:p>
        </w:tc>
        <w:tc>
          <w:tcPr>
            <w:tcW w:type="dxa" w:w="113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Đã đối chiếu văn bản gốc trong kho 01, khớp số hiệu, ngày ban hành: NĐ 94/2026/NĐ-CP (31/3/2026, hiệu lực 01/7/2026), TT 107/2026/TT-BCA và TT 108/2026/TT-BCA (29/6/2026, hiệu lực 01/7/2026), TT 14/2025/TT-BXD (30/6/2025), Luật Giáo dục nghề nghiệp (10/12/2025), Luật Trật tự, an toàn giao thông đường bộ (27/6/2024), QĐ 339/QĐ-UBND (26/6/2023).</w:t>
      </w:r>
    </w:p>
    <w:p>
      <w:pPr>
        <w:spacing w:after="60" w:line="276" w:lineRule="auto"/>
        <w:ind w:firstLine="567"/>
        <w:jc w:val="both"/>
      </w:pPr>
      <w:r>
        <w:rPr>
          <w:rFonts w:ascii="Times New Roman" w:hAnsi="Times New Roman"/>
          <w:b w:val="0"/>
          <w:i w:val="0"/>
          <w:sz w:val="28"/>
        </w:rPr>
        <w:t>Phân hạng A1 (đến 125 cm³) và A (trên 125 cm³) khớp Điều 57 Luật Trật tự, an toàn giao thông đường bộ. Khối lượng đào tạo A1 12 giờ (7, 2, 3) khớp Điều 1 TT 17/2026/TT-BXD và Thông báo 797. Bốn bài sát hạch hạng A (27 m, 27 m, 15 m) khớp QCVN mục 2.1.13; tên bài tình huống giả định và mốc 01/01/2028 đã xác minh (điểm b khoản 2 Điều 2 TT 107).</w:t>
      </w:r>
    </w:p>
    <w:p>
      <w:pPr>
        <w:spacing w:after="60" w:line="276" w:lineRule="auto"/>
        <w:ind w:firstLine="567"/>
        <w:jc w:val="both"/>
      </w:pPr>
      <w:r>
        <w:rPr>
          <w:rFonts w:ascii="Times New Roman" w:hAnsi="Times New Roman"/>
          <w:b w:val="0"/>
          <w:i w:val="0"/>
          <w:sz w:val="28"/>
        </w:rPr>
        <w:t>Số liệu cơ sở vật chất trong Đề án khớp Biên bản kiểm tra ngày 10/7/2026 (03 sân tập, 01 sân sát hạch, 15 xe, 02 hội trường, phòng máy 70 m², 32 máy, 11 nhà giáo).</w:t>
      </w:r>
    </w:p>
    <w:p>
      <w:pPr>
        <w:spacing w:after="60" w:line="276" w:lineRule="auto"/>
        <w:ind w:firstLine="567"/>
        <w:jc w:val="both"/>
      </w:pPr>
      <w:r>
        <w:rPr>
          <w:rFonts w:ascii="Times New Roman" w:hAnsi="Times New Roman"/>
          <w:b w:val="0"/>
          <w:i w:val="0"/>
          <w:sz w:val="28"/>
        </w:rPr>
        <w:t>Lề trang 3 – 2 – 2 – 2 cm đúng TB 597. Không còn dạng 'đảm bảo', 'Nhà trường'. Ngày tháng nhất quán dạng rút gọn. Danh sách nhà giáo được thống kê tổng hợp; không đưa họ tên, ngày sinh, số căn cước công dân vào Đề án.</w:t>
      </w:r>
    </w:p>
    <w:p>
      <w:pPr>
        <w:spacing w:after="60" w:line="276" w:lineRule="auto"/>
        <w:ind w:firstLine="567"/>
        <w:jc w:val="both"/>
      </w:pPr>
      <w:r>
        <w:rPr>
          <w:rFonts w:ascii="Times New Roman" w:hAnsi="Times New Roman"/>
          <w:b w:val="0"/>
          <w:i w:val="0"/>
          <w:sz w:val="28"/>
        </w:rPr>
        <w:t>Theo dõi thay đổi (NT-2): Xuất phát từ đúng tệp gốc, từ chối hết thay đổi cho ra bản gốc; bộ kiểm tra OOXML không báo lỗi.</w:t>
      </w:r>
    </w:p>
    <w:p>
      <w:pPr>
        <w:spacing w:before="200" w:after="80"/>
      </w:pPr>
      <w:r>
        <w:rPr>
          <w:rFonts w:ascii="Times New Roman" w:hAnsi="Times New Roman"/>
          <w:b/>
          <w:i w:val="0"/>
          <w:color w:val="7030A0"/>
          <w:sz w:val="28"/>
        </w:rPr>
        <w:t>PHẦN IV. BẢNG TỔNG HỢP</w:t>
      </w:r>
    </w:p>
    <w:tbl>
      <w:tblPr>
        <w:tblStyle w:val="TableGrid"/>
        <w:tblW w:type="dxa" w:w="14572"/>
        <w:jc w:val="center"/>
        <w:tblLayout w:type="fixed"/>
        <w:tblLook w:firstColumn="1" w:firstRow="1" w:lastColumn="0" w:lastRow="0" w:noHBand="0" w:noVBand="1" w:val="04A0"/>
      </w:tblPr>
      <w:tblGrid>
        <w:gridCol w:w="1701"/>
        <w:gridCol w:w="1701"/>
        <w:gridCol w:w="5670"/>
        <w:gridCol w:w="5500"/>
      </w:tblGrid>
      <w:tr>
        <w:trPr>
          <w:cantSplit w:val="0"/>
          <w:tblHeader w:val="1"/>
        </w:trPr>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SỐ VẤN ĐỀ</w:t>
            </w:r>
          </w:p>
        </w:tc>
        <w:tc>
          <w:tcPr>
            <w:tcW w:type="dxa" w:w="567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ĐÃ SỬA TRONG BẢN TRACK CHANGES</w:t>
            </w:r>
          </w:p>
        </w:tc>
        <w:tc>
          <w:tcPr>
            <w:tcW w:type="dxa" w:w="550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CÒN MỞ</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567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(điều kiện sát hạch — cần Tổ xác nhận hướng)</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(mục trống; nhãn nội bộ)</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567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 (căn cứ TT 14, viện dẫn Luật, thủ tục, nhóm hạn chế)</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(nguồn vốn)</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8</w:t>
            </w:r>
          </w:p>
        </w:tc>
        <w:tc>
          <w:tcPr>
            <w:tcW w:type="dxa" w:w="567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(chính tả, ngày tháng, đánh số mục)</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 (Bảng 4, tên đơn vị, cụm mơ hồ, thứ tự căn cứ, cột Bảng 6 — thể thức)</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w:t>
            </w:r>
          </w:p>
        </w:tc>
        <w:tc>
          <w:tcPr>
            <w:tcW w:type="dxa" w:w="567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550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7 (cần xác minh)</w:t>
            </w:r>
          </w:p>
        </w:tc>
      </w:tr>
    </w:tbl>
    <w:p>
      <w:pPr>
        <w:spacing w:after="40"/>
      </w:pPr>
    </w:p>
    <w:p>
      <w:pPr>
        <w:spacing w:after="60" w:line="276" w:lineRule="auto"/>
        <w:ind w:firstLine="567"/>
        <w:jc w:val="both"/>
      </w:pPr>
      <w:r>
        <w:rPr>
          <w:rFonts w:ascii="Times New Roman" w:hAnsi="Times New Roman"/>
          <w:b w:val="0"/>
          <w:i w:val="0"/>
          <w:sz w:val="28"/>
        </w:rPr>
        <w:t>Tổng cộng 23 vấn đề (một dòng bảng có thể gộp nhiều vị trí). Ngoài ra, Đề án đã được bổ sung 148 đoạn, hàng bảng và ô số liệu từ ba tệp đính kèm, thể hiện bằng màu riêng theo tác giả.</w:t>
      </w: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Có bốn nội dung cần người có chuyên môn thẩm định; AI chỉ nêu dữ kiện, không quyết định thay.</w:t>
      </w:r>
    </w:p>
    <w:p>
      <w:pPr>
        <w:spacing w:after="60" w:line="276" w:lineRule="auto"/>
        <w:ind w:firstLine="567"/>
        <w:jc w:val="both"/>
      </w:pPr>
      <w:r>
        <w:rPr>
          <w:rFonts w:ascii="Times New Roman" w:hAnsi="Times New Roman"/>
          <w:b w:val="0"/>
          <w:i w:val="0"/>
          <w:sz w:val="28"/>
        </w:rPr>
        <w:t>1. Kỹ thuật sân: Chọn sân tập lái để sát hạch mô tô loại 2 hay trung tâm sát hạch; sân Giai đoạn 1 (khoảng 2.000 m²) có đủ bố trí bốn hình hạng A (hình số 8 bán kính 3,4 m, hai đoạn 27 m, đoạn gồ ghề 15 m) và chừa quỹ đất cho hình tình huống giả định (từ 01/01/2028) hay không. Đề nghị khoa Kỹ thuật và Công nghệ hoặc đơn vị thiết kế xác nhận.</w:t>
      </w:r>
    </w:p>
    <w:p>
      <w:pPr>
        <w:spacing w:after="60" w:line="276" w:lineRule="auto"/>
        <w:ind w:firstLine="567"/>
        <w:jc w:val="both"/>
      </w:pPr>
      <w:r>
        <w:rPr>
          <w:rFonts w:ascii="Times New Roman" w:hAnsi="Times New Roman"/>
          <w:b w:val="0"/>
          <w:i w:val="0"/>
          <w:sz w:val="28"/>
        </w:rPr>
        <w:t>2. Nhân lực: Chỉ 01/11 nhà giáo có giấy phép lái xe hạng A; giáo viên dạy thực hành phải có hạng tương ứng hoặc cao hơn (khoản 2 Điều 10 NĐ 94/2026). Chuyên ngành của nhiều nhà giáo (toán, kế toán, thú y, lâm sinh, chăn nuôi) cần đối chiếu điểm a khoản 1 Điều 10 (ngành luật, công nghệ ô tô hoặc có ít nhất 30% nội dung pháp luật, ô tô). Đề nghị Phòng TCCB&amp;CTHSSV và Khoa xác minh hồ sơ từng người; các giấy chứng nhận cấp trước 01/7/2026 vẫn còn giá trị theo Điều 42.</w:t>
      </w:r>
    </w:p>
    <w:p>
      <w:pPr>
        <w:spacing w:after="60" w:line="276" w:lineRule="auto"/>
        <w:ind w:firstLine="567"/>
        <w:jc w:val="both"/>
      </w:pPr>
      <w:r>
        <w:rPr>
          <w:rFonts w:ascii="Times New Roman" w:hAnsi="Times New Roman"/>
          <w:b w:val="0"/>
          <w:i w:val="0"/>
          <w:sz w:val="28"/>
        </w:rPr>
        <w:t>3. Tài chính: Phương án Trường đầu tư sân và 50% thiết bị xe sát hạch, xe tập lái do nhà đầu tư cung cấp; doanh thu, điểm hòa vốn, khoán kinh phí. Đề nghị Phòng TC-KT thẩm định; đối chiếu Quyết định 1777/QĐ-CĐKT về mức tối đa thiết bị.</w:t>
      </w:r>
    </w:p>
    <w:p>
      <w:pPr>
        <w:spacing w:after="60" w:line="276" w:lineRule="auto"/>
        <w:ind w:firstLine="567"/>
        <w:jc w:val="both"/>
      </w:pPr>
      <w:r>
        <w:rPr>
          <w:rFonts w:ascii="Times New Roman" w:hAnsi="Times New Roman"/>
          <w:b w:val="0"/>
          <w:i w:val="0"/>
          <w:sz w:val="28"/>
        </w:rPr>
        <w:t>4. Thủ tục: Xác nhận với Sở Xây dựng thủ tục công bố đủ điều kiện đào tạo hạng A (tiền lệ hạng A1: Thông báo ngày 09/7/2026, kiểm tra ngày 10/7/2026) và với Phòng Cảnh sát giao thông thủ tục chấp thuận sân sát hạch hạng A.</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Dự thảo lần 3 có khung logic đúng (thực trạng, mục tiêu, giải pháp, lộ trình, hiệu quả) và số liệu cơ sở vật chất khớp hồ sơ. Sau khi bổ sung, Phần II đã có đủ dữ liệu về nhà giáo, phương tiện, sân, phòng học, chương trình. Điểm yếu lớn nhất là căn cứ kỹ thuật cho điều kiện sát hạch hạng A trong bản gốc không khớp Nghị định 94/2026, làm lệch toàn bộ phần đánh giá rủi ro và nhu cầu đầu tư. Phần kinh phí, tổ chức thực hiện, kết luận chưa có. Văn bản còn ở trạng thái dự thảo làm việc, chưa phải bản trình.</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i w:val="0"/>
          <w:sz w:val="28"/>
        </w:rPr>
        <w:t>Kết luận: CHƯA đủ điều kiện trình ký. Còn 03 vấn đề Mức 1 (dòng 1, 2, 3).</w:t>
      </w:r>
    </w:p>
    <w:p>
      <w:pPr>
        <w:spacing w:after="60" w:line="276" w:lineRule="auto"/>
        <w:ind w:firstLine="567"/>
        <w:jc w:val="both"/>
      </w:pPr>
      <w:r>
        <w:rPr>
          <w:rFonts w:ascii="Times New Roman" w:hAnsi="Times New Roman"/>
          <w:b w:val="0"/>
          <w:i w:val="0"/>
          <w:sz w:val="28"/>
        </w:rPr>
        <w:t>Thứ tự xử lý đề xuất: (1) Tổ xây dựng Đề án xem lại và chấp nhận hoặc từ chối các thay đổi màu 'Đối chiếu văn bản gốc kho 01' ở Phần II.1, IV.1, IV.2, Phụ lục I, II, và chốt hướng sân (a) hoặc (b) (dòng 1). (2) Khoa Đào tạo và Sát hạch lái xe cung cấp số liệu còn thiếu: Bảng 1, 3, 4, 5, 7; đo kích thước sân; hạng giấy phép lái xe của từng nhà giáo; hoàn tất biên bản kiểm kê. (3) Phòng TC-KT hoàn thiện kinh phí, phương án tài chính, thống nhất nguồn vốn (dòng 2, 4). (4) Hoàn thiện các mục trống và thống nhất căn cứ (dòng 2, 5–7, 13, 14, 17–21). (5) Gỡ nhãn nội bộ và nguồn Internet (dòng 3). (6) Chạy lại rà soát 897 trước khi trình; kiểm tra trực quan trên Word.</w:t>
      </w:r>
    </w:p>
    <w:p>
      <w:pPr>
        <w:spacing w:before="200" w:after="80"/>
      </w:pPr>
      <w:r>
        <w:rPr>
          <w:rFonts w:ascii="Times New Roman" w:hAnsi="Times New Roman"/>
          <w:b/>
          <w:i w:val="0"/>
          <w:color w:val="7030A0"/>
          <w:sz w:val="28"/>
        </w:rPr>
        <w:t>KIỂM TRA CHẤT LƯỢNG CUỐI CÙNG</w:t>
      </w:r>
    </w:p>
    <w:tbl>
      <w:tblPr>
        <w:tblStyle w:val="TableGrid"/>
        <w:tblW w:type="dxa" w:w="14571"/>
        <w:jc w:val="center"/>
        <w:tblLayout w:type="fixed"/>
        <w:tblLook w:firstColumn="1" w:firstRow="1" w:lastColumn="0" w:lastRow="0" w:noHBand="0" w:noVBand="1" w:val="04A0"/>
      </w:tblPr>
      <w:tblGrid>
        <w:gridCol w:w="850"/>
        <w:gridCol w:w="8505"/>
        <w:gridCol w:w="5216"/>
      </w:tblGrid>
      <w:tr>
        <w:trPr>
          <w:cantSplit w:val="0"/>
          <w:tblHeader w:val="1"/>
        </w:trPr>
        <w:tc>
          <w:tcPr>
            <w:tcW w:type="dxa" w:w="85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850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 KIỂM TRA</w:t>
            </w:r>
          </w:p>
        </w:tc>
        <w:tc>
          <w:tcPr>
            <w:tcW w:type="dxa" w:w="521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phân hệ đúng (Hệ A); không áp thể thức Đảng, đoàn thể</w:t>
            </w:r>
          </w:p>
        </w:tc>
        <w:tc>
          <w:tcPr>
            <w:tcW w:type="dxa" w:w="5216"/>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Kiểm binary DOCX: Signature, lề đo được; cỡ chữ run chưa đo được</w:t>
            </w:r>
          </w:p>
        </w:tc>
        <w:tc>
          <w:tcPr>
            <w:tcW w:type="dxa" w:w="5216"/>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Đạt một phần — FORMAT chưa đo ở mức run</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Đối chiếu kho 01–04 trước kết luận; văn bản không có trong kho ghi Mức 4</w:t>
            </w:r>
          </w:p>
        </w:tc>
        <w:tc>
          <w:tcPr>
            <w:tcW w:type="dxa" w:w="5216"/>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Finding trọng yếu có bằng chứng và nguồn</w:t>
            </w:r>
          </w:p>
        </w:tc>
        <w:tc>
          <w:tcPr>
            <w:tcW w:type="dxa" w:w="5216"/>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dùng pháp luật hết hiệu lực làm khung hiện hành (NĐ 160/2024 đã bị NĐ 94/2026 bãi bỏ)</w:t>
            </w:r>
          </w:p>
        </w:tc>
        <w:tc>
          <w:tcPr>
            <w:tcW w:type="dxa" w:w="5216"/>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Ba trường trách nhiệm; không ghi công cụ AI là người kiểm tra</w:t>
            </w:r>
          </w:p>
        </w:tc>
        <w:tc>
          <w:tcPr>
            <w:tcW w:type="dxa" w:w="5216"/>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Đạt (tên người kiểm tra để trống, cần điền)</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Bảng DOCX dùng lưới cột cố định, tổng ≤ 25,7 cm</w:t>
            </w:r>
          </w:p>
        </w:tc>
        <w:tc>
          <w:tcPr>
            <w:tcW w:type="dxa" w:w="5216"/>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850"/>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850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hoa sau dấu hai chấm; footer canonical</w:t>
            </w:r>
          </w:p>
        </w:tc>
        <w:tc>
          <w:tcPr>
            <w:tcW w:type="dxa" w:w="5216"/>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bl>
    <w:p>
      <w:pPr>
        <w:spacing w:after="40"/>
      </w:pP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Đề án dự thảo lần 3; Thông báo 797/TB-CĐKT; Biên bản kiểm tra ngày 10/7/2026 của Sở Xây dựng; Bảng kiểm kê tài sản của Khoa; KTC-Database kho 01, 02; Checklist 897 (02, 04, 07, 08); Internet (Chỉ thị 23-CT/TW, 10/CT-TTg) ngày 20/09/2026.</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Chưa xác định — người có thẩm quyền của Tổ xây dựng Đề án điền tên và chức danh khi xác nhận</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