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Dự thảo Chương trình công tác trọng tâm tháng 10 năm 2026 của Ban Thường vụ Đảng ủy UBND phường XYZ (văn bản của cơ quan khác, không thuộc Trường Cao đẳng Kon Tum)</w:t>
      </w:r>
    </w:p>
    <w:p>
      <w:pPr>
        <w:jc w:val="center"/>
      </w:pPr>
      <w:r>
        <w:rPr>
          <w:rFonts w:ascii="Times New Roman" w:hAnsi="Times New Roman"/>
          <w:b w:val="0"/>
          <w:i w:val="0"/>
          <w:sz w:val="26"/>
        </w:rPr>
        <w:t xml:space="preserve">Ngày rà soát: </w:t>
      </w:r>
      <w:r>
        <w:rPr>
          <w:rFonts w:ascii="Times New Roman" w:hAnsi="Times New Roman"/>
          <w:b/>
          <w:i w:val="0"/>
          <w:sz w:val="26"/>
        </w:rPr>
        <w:t>12/10/2026</w:t>
      </w:r>
      <w:r>
        <w:rPr>
          <w:rFonts w:ascii="Times New Roman" w:hAnsi="Times New Roman"/>
          <w:b w:val="0"/>
          <w:i w:val="0"/>
          <w:sz w:val="26"/>
        </w:rPr>
        <w:t xml:space="preserve">  |  Đơn vị soạn thảo: </w:t>
      </w:r>
      <w:r>
        <w:rPr>
          <w:rFonts w:ascii="Times New Roman" w:hAnsi="Times New Roman"/>
          <w:b/>
          <w:i w:val="0"/>
          <w:sz w:val="26"/>
        </w:rPr>
        <w:t>Đảng ủy UBND phường XYZ (cơ quan khác — không thuộc Trường Cao đẳng Kon Tum)</w:t>
      </w:r>
      <w:r>
        <w:rPr>
          <w:rFonts w:ascii="Times New Roman" w:hAnsi="Times New Roman"/>
          <w:b w:val="0"/>
          <w:i w:val="0"/>
          <w:sz w:val="26"/>
        </w:rPr>
        <w:t xml:space="preserve">  |  Thẩm quyền: </w:t>
      </w:r>
      <w:r>
        <w:rPr>
          <w:rFonts w:ascii="Times New Roman" w:hAnsi="Times New Roman"/>
          <w:b/>
          <w:i w:val="0"/>
          <w:sz w:val="26"/>
        </w:rPr>
        <w:t>Ban Thường vụ Đảng ủy UBND phường XYZ (dự kiến người ký: Phó Bí thư, T/M Ban Thường vụ)</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Văn bản của Đảng — Hướng dẫn 05-HD/VPTW ngày 27/5/2026 (thể thức, kỹ thuật trình bày) và Quy định 399-QĐ/TW ngày 09/01/2026 (thể loại, thẩm quyền). Căn cứ xác định: tiêu đề "ĐẢNG CỘNG SẢN VIỆT NAM", tên cơ quan ban hành "ĐẢNG ỦY ỦY BAN NHÂN DÂN PHƯỜNG XYZ", ký hiệu "...-CTr/ĐU", cách đề ký "T/M BAN THƯỜNG VỤ". Không áp dụng Nghị định 30/2020/NĐ-CP, Checklist 01/05 (hệ hành chính nhà nước).</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Chương trình công tác (thuộc 25 thể loại văn bản Đảng theo QĐ 399-QĐ/TW; Ban Thường vụ đảng ủy cơ sở có thẩm quyền ban hành "Chương trình").</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Ban Thường vụ Đảng ủy Ủy ban nhân dân phường XYZ — KHÔNG phải văn bản của Trường Cao đẳng Kon Tum. Theo yêu cầu của người dùng, Hệ KHÔNG áp Checklist 08 (quy ước riêng CĐKT) và KHÔNG áp mục 1-2 Checklist 04 ("bảo đảm/đảm bảo", "nhà trường" viết thường — các quy ước chỉ dành riêng cho văn bản của Trường).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01-Legal-Database/01-03- VB cua TW Dang: HD-05-HD-VPTW_The-thuc-va-ky-thuat-trinh-bay-VB-Dang_20260527_v1.docx; QD-399-QD-TW_The-loai-tham-quyen-the-thuc-VB-Dang_20260109_v1.docx; QD-208-QD-TW_Thi-hanh-Dieu-le-Dang_20260726_v1.docx; HD-02-HD-TW_20260807_v1.docx; NQ-26-NQ-TW_2026_v1.docx; NQ-27-NQ-TW_2026_v1.docx (đã đọc, đối chiếu khớp số hiệu/ngày/trích yếu dự thảo). Skill 29 (Văn bản Đảng) + Phụ lục 2 (cỡ chữ/kiểu chữ) + Phụ lục 3 (tái cơ cấu tổ chức Đảng 2026); Checklist 02 (Nội dung), 03 (Pháp lý), 04 (Ngôn ngữ — chỉ các mục không phải quy ước riêng Trường). KHÔNG dùng Checklist 01, 05 (hành chính NĐ30) và KHÔNG dùng Checklist 08 (quy ước riêng CĐKT) theo yêu cầu rõ ràng của người dùng vì văn bản thuộc cơ quan khác. Thuộc tính định lượng thật (lề, cỡ chữ, kiểu chữ, line spacing) đọc trực tiếp bằng python-docx từ tệp .docx gốc (không dùng tools/_read_input_properties.py vì script đó hiệu chỉnh riêng cho hệ NĐ30/TB597, không đúng cho hệ Đảng).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Thống nhất tiền đề</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Xác nhận với người dùng: dự thảo thuộc cơ quan khác (Đảng ủy UBND phường XYZ), không thuộc Trường Cao đẳng Kon Tum. Riêng khả năng loại hình tổ chức đảng cấp phường theo QĐ 208-QĐ/TW (thí điểm) KHÔNG được Hệ nhận định, vì đây là vấn đề tổ chức nội bộ của cơ quan khác, ngoài phạm vi xác minh của Checklist/Phụ lục 3 (Phụ lục 3 chỉ xử lý trường hợp riêng của Đảng ủy Trường CĐ Kon Tum).</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12/10/2026</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567"/>
        <w:gridCol w:w="2381"/>
        <w:gridCol w:w="5443"/>
        <w:gridCol w:w="3005"/>
        <w:gridCol w:w="1701"/>
        <w:gridCol w:w="1190"/>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38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43"/>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19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căn cứ ban hành</w:t>
            </w:r>
          </w:p>
        </w:tc>
        <w:tc>
          <w:tcPr>
            <w:tcW w:type="dxa" w:w="544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thứ hai ("Chương trình công tác trọng tâm năm 2026 ... (Chương trình số 09-CTr/TU ngày 18/12/2025); Chương trình công tác trọng tâm quý IV/2026 ... (Chương trình số 25-CTr/ĐU ngày 29/9/2026);") dùng hai ký hiệu cơ quan khác nhau ("TU" và "ĐU") cho các văn bản cùng do Đảng ủy/Ban Thường vụ Đảng ủy UBND phường XYZ ban hành trong cùng nhiệm kỳ. Ký hiệu của chính dự thảo này cũng dùng "ĐU". Hệ không có quyền truy cập hồ sơ lưu trữ của Đảng ủy UBND phường XYZ nên không thể khẳng định đây là lỗi đánh máy hay có lý do tổ chức khác.</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Đề nghị đơn vị soạn thảo tự kiểm tra lại ký hiệu đúng của "Chương trình số 09.../2025" trong hồ sơ lưu, thống nhất với ký hiệu "ĐU" đang dùng ở các căn cứ khác nếu đây cùng là một cơ quan.</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2 HD 05-HD/VPTW mục 4 (căn cứ ghi đủ số/ký hiệu); Checklist 02 mục 1 #4</w:t>
            </w:r>
          </w:p>
        </w:tc>
        <w:tc>
          <w:tcPr>
            <w:tcW w:type="dxa" w:w="119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căn cứ ban hành</w:t>
            </w:r>
          </w:p>
        </w:tc>
        <w:tc>
          <w:tcPr>
            <w:tcW w:type="dxa" w:w="544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cuối cùng trước câu mở đầu nội dung ("...Chương trình số 25-CTr/ĐU ngày 29/9/2026);") kết thúc bằng dấu chấm phẩy (;) thay vì dấu chấm (.) theo đúng quy tắc văn bản Đảng.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Sửa dấu chấm phẩy cuối căn cứ thứ hai thành dấu chấm (.).</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2 HD 05-HD/VPTW mục 4: "...căn cứ cuối cùng có dấu chấm (.)"</w:t>
            </w:r>
          </w:p>
        </w:tc>
        <w:tc>
          <w:tcPr>
            <w:tcW w:type="dxa" w:w="119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tính thống nhất tên cơ quan</w:t>
            </w:r>
          </w:p>
        </w:tc>
        <w:tc>
          <w:tcPr>
            <w:tcW w:type="dxa" w:w="544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II và một số vị trí Mục III dùng tên rút gọn "Đảng ủy phường" / "Ban Thường vụ Đảng ủy phường" (ví dụ tiêu đề Mục II: "TRÌNH BAN THƯỜNG VỤ ĐẢNG ỦY PHƯỜNG"; điểm 1, 2 Mục II; điểm 2, 3 Mục III), trong khi tên cơ quan ban hành ghi ở đầu văn bản và phần lớn nội dung khác dùng tên đầy đủ "Đảng ủy UBND phường XYZ" / "Ban Thường vụ Đảng ủy UBND phường XYZ". Không rõ "Đảng ủy phường" là cách viết tắt của cùng một cơ quan, hay chỉ một cấp ủy khác (ví dụ "Đảng bộ phường XYZ" — cấp trên trực tiếp nêu ở thể thức đầu văn bản).</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Đơn vị soạn thảo xác định rõ: nếu cùng một cơ quan, viết thống nhất "Đảng ủy UBND phường XYZ" xuyên suốt; nếu là cấp ủy khác (cấp trên), ghi đầy đủ tên gọi chính thức của cấp ủy đó để tránh nhầm lẫn.</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02 mục 5 #5 (tên cơ quan nhất quán xuyên suốt); Checklist 04 mục 6</w:t>
            </w:r>
          </w:p>
        </w:tc>
        <w:tc>
          <w:tcPr>
            <w:tcW w:type="dxa" w:w="119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cỡ chữ tên loại văn bản</w:t>
            </w:r>
          </w:p>
        </w:tc>
        <w:tc>
          <w:tcPr>
            <w:tcW w:type="dxa" w:w="544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"CHƯƠNG TRÌNH" (tên loại văn bản, dòng đầu trang) có cỡ chữ thực tế 14pt.</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Tăng cỡ chữ "CHƯƠNG TRÌNH" lên 15-16pt theo đúng Phụ lục 2.</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2 HD 05-HD/VPTW, Bảng 15 thành phần, TT 5a: tên loại văn bản cỡ 15-16, đứng, đậm</w:t>
            </w:r>
          </w:p>
        </w:tc>
        <w:tc>
          <w:tcPr>
            <w:tcW w:type="dxa" w:w="119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cỡ chữ, kiểu chữ phần ký</w:t>
            </w:r>
          </w:p>
        </w:tc>
        <w:tc>
          <w:tcPr>
            <w:tcW w:type="dxa" w:w="544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Dòng "T/M BAN THƯỜNG VỤ" (quyền hạn ký) không có định dạng đậm và cỡ chữ thực tế kế thừa 15pt (mặc định Normal style); họ tên người ký "Nguyễn Văn A" cũng kế thừa cỡ 15pt. Cả hai đều cần cỡ 14pt theo Phụ lục 2 (quyền hạn ký còn thiếu định dạng đậm bắt buộc).</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Đặt "T/M BAN THƯỜNG VỤ" cỡ 14pt, in hoa, đứng, đậm; đặt "Nguyễn Văn A" cỡ 14pt (giữ nguyên đứng, đậm đã đúng).</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2 HD 05-HD/VPTW, Bảng 15 thành phần, TT 7a (14, đứng, đậm) và TT 7c (14, đứng, đậm)</w:t>
            </w:r>
          </w:p>
        </w:tc>
        <w:tc>
          <w:tcPr>
            <w:tcW w:type="dxa" w:w="119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cấu trúc nội dung</w:t>
            </w:r>
          </w:p>
        </w:tc>
        <w:tc>
          <w:tcPr>
            <w:tcW w:type="dxa" w:w="544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đi thẳng vào "I. NHIỆM VỤ TRỌNG TÂM" sau câu dẫn, không có đoạn/mục "Mục đích, yêu cầu" ngắn nêu rõ phạm vi và mục tiêu của chương trình công tác tháng.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Cân nhắc bổ sung 2-3 câu mục đích/yêu cầu mở đầu (không bắt buộc đối với thể loại "Chương trình" theo quy định hiện có trong kho 01-04, chỉ là góp ý thực tiễn).</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02 mục 2 (tham khảo yêu cầu tương tự áp cho "Kế hoạch"); không có quy định bắt buộc riêng cho "Chương trình" trong kho 01-04 hiện có</w:t>
            </w:r>
          </w:p>
        </w:tc>
        <w:tc>
          <w:tcPr>
            <w:tcW w:type="dxa" w:w="119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val="0"/>
          <w:i w:val="0"/>
          <w:sz w:val="28"/>
        </w:rPr>
        <w:t>Thẩm quyền ban hành: đối chiếu QĐ-399-QĐ-TW_The-loai-tham-quyen-the-thuc-VB-Dang_20260109_v1.docx (kho 01-04), Ban Thường vụ đảng ủy cơ sở có thẩm quyền ban hành "Chương trình" — dự thảo ban hành đúng thẩm quyền.</w:t>
      </w:r>
    </w:p>
    <w:p>
      <w:pPr>
        <w:spacing w:after="60" w:line="276" w:lineRule="auto"/>
        <w:jc w:val="both"/>
      </w:pPr>
      <w:r>
        <w:rPr>
          <w:rFonts w:ascii="Times New Roman" w:hAnsi="Times New Roman"/>
          <w:b w:val="0"/>
          <w:i w:val="0"/>
          <w:sz w:val="28"/>
        </w:rPr>
        <w:t>Căn cứ pháp lý nội dung: Nghị quyết số 26-NQ/TW ngày 22/8/2026 (về phát triển du lịch Việt Nam) và Nghị quyết số 27-NQ/TW ngày 28/8/2026 (về phát triển các vùng và tổ chức không gian phát triển quốc gia) — đã đối chiếu trực tiếp với văn bản gốc trong kho 01-04 (NQ-26-NQ-TW_2026_v1.docx, NQ-27-NQ-TW_2026_v1.docx): khớp đúng số hiệu, ngày ban hành, trích yếu.</w:t>
      </w:r>
    </w:p>
    <w:p>
      <w:pPr>
        <w:spacing w:after="60" w:line="276" w:lineRule="auto"/>
        <w:jc w:val="both"/>
      </w:pPr>
      <w:r>
        <w:rPr>
          <w:rFonts w:ascii="Times New Roman" w:hAnsi="Times New Roman"/>
          <w:b w:val="0"/>
          <w:i w:val="0"/>
          <w:sz w:val="28"/>
        </w:rPr>
        <w:t>Thể thức định lượng (đọc trực tiếp XML tệp .docx gốc, đối chiếu Phụ lục 2 HD 05-HD/VPTW): lề trên/dưới 20mm, trái 30mm, phải 15mm — đúng mốc cố định; 5 dấu gạch nối dưới trích yếu; dấu "*" dưới tên cơ quan ban hành; "Nơi nhận" cỡ 14 có gạch chân, danh sách nơi nhận cỡ 12; địa danh/ngày tháng cỡ 14 nghiêng; tiêu đề "ĐẢNG CỘNG SẢN VIỆT NAM" cỡ 15 in hoa đậm; tên cơ quan cấp trên (14, đứng) và tên cơ quan ban hành (14, đứng, đậm) đúng cỡ/kiểu.</w:t>
      </w:r>
    </w:p>
    <w:p>
      <w:pPr>
        <w:spacing w:after="60" w:line="276" w:lineRule="auto"/>
        <w:jc w:val="both"/>
      </w:pPr>
      <w:r>
        <w:rPr>
          <w:rFonts w:ascii="Times New Roman" w:hAnsi="Times New Roman"/>
          <w:b w:val="0"/>
          <w:i w:val="0"/>
          <w:sz w:val="28"/>
        </w:rPr>
        <w:t>Cách đề ký: dùng đúng "T/M" (không lẫn "TM."/"K/T"/"T/L" của hệ hành chính nhà nước) — phù hợp vì văn bản của một tập thể (Ban Thường vụ), người ký đại diện dùng T/M bất kể là Bí thư hay Phó Bí thư.</w:t>
      </w:r>
    </w:p>
    <w:p>
      <w:pPr>
        <w:spacing w:after="60" w:line="276" w:lineRule="auto"/>
        <w:jc w:val="both"/>
      </w:pPr>
      <w:r>
        <w:rPr>
          <w:rFonts w:ascii="Times New Roman" w:hAnsi="Times New Roman"/>
          <w:b w:val="0"/>
          <w:i w:val="0"/>
          <w:sz w:val="28"/>
        </w:rPr>
        <w:t>Ngày tháng: toàn văn dùng nhất quán một dạng rút gọn dd/mm/yyyy, đúng quy tắc số 0 (ngày/tháng &lt;10 và tháng 1-2 thêm số 0, tháng 3-12 không thêm); riêng địa danh/ngày ban hành ở đầu văn bản dùng đúng dạng đầy đủ theo ngoại lệ thể thức. Không phát hiện đánh số, ký hiệu mục bị nhảy số hoặc trùng lặp (Mục I-IV, các điểm 1..n).</w:t>
      </w:r>
    </w:p>
    <w:p>
      <w:pPr>
        <w:spacing w:before="200" w:after="80"/>
      </w:pPr>
      <w:r>
        <w:rPr>
          <w:rFonts w:ascii="Times New Roman" w:hAnsi="Times New Roman"/>
          <w:b/>
          <w:i w:val="0"/>
          <w:color w:val="7030A0"/>
          <w:sz w:val="28"/>
        </w:rPr>
        <w:t>PHẦN IV. BẢNG TỔNG HỢP</w:t>
      </w:r>
    </w:p>
    <w:p>
      <w:pPr>
        <w:spacing w:after="60" w:line="276" w:lineRule="auto"/>
        <w:jc w:val="both"/>
      </w:pPr>
      <w:r>
        <w:rPr>
          <w:rFonts w:ascii="Times New Roman" w:hAnsi="Times New Roman"/>
          <w:b/>
          <w:i w:val="0"/>
          <w:sz w:val="28"/>
        </w:rPr>
        <w:t>Bảng 1 — Số lượng vấn đề theo nhóm nội dung:</w:t>
      </w:r>
    </w:p>
    <w:tbl>
      <w:tblPr>
        <w:tblStyle w:val="TableGrid"/>
        <w:tblW w:type="auto" w:w="0"/>
        <w:jc w:val="center"/>
        <w:tblLayout w:type="fixed"/>
        <w:tblLook w:firstColumn="1" w:firstRow="1" w:lastColumn="0" w:lastRow="0" w:noHBand="0" w:noVBand="1" w:val="04A0"/>
      </w:tblPr>
      <w:tblGrid>
        <w:gridCol w:w="3402"/>
        <w:gridCol w:w="1701"/>
        <w:gridCol w:w="1701"/>
        <w:gridCol w:w="1701"/>
        <w:gridCol w:w="1701"/>
        <w:gridCol w:w="1701"/>
      </w:tblGrid>
      <w:tr>
        <w:trPr>
          <w:cantSplit w:val="0"/>
          <w:tblHeader w:val="1"/>
        </w:trPr>
        <w:tc>
          <w:tcPr>
            <w:tcW w:type="dxa" w:w="3402"/>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 nội dung</w:t>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lượng</w:t>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Thể thức</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Nội dung</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Điều khoản bắt buộc</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Chất lượng soạn thảo</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r>
    </w:tbl>
    <w:p>
      <w:pPr>
        <w:spacing w:after="40"/>
      </w:pPr>
    </w:p>
    <w:p>
      <w:pPr>
        <w:spacing w:after="60" w:line="276" w:lineRule="auto"/>
        <w:jc w:val="both"/>
      </w:pPr>
      <w:r>
        <w:rPr>
          <w:rFonts w:ascii="Times New Roman" w:hAnsi="Times New Roman"/>
          <w:b/>
          <w:i w:val="0"/>
          <w:sz w:val="28"/>
        </w:rPr>
        <w:t>Bảng 2 — Số lượng vấn đề theo mức độ:</w:t>
      </w:r>
    </w:p>
    <w:tbl>
      <w:tblPr>
        <w:tblStyle w:val="TableGrid"/>
        <w:tblW w:type="auto" w:w="0"/>
        <w:jc w:val="center"/>
        <w:tblLayout w:type="fixed"/>
        <w:tblLook w:firstColumn="1" w:firstRow="1" w:lastColumn="0" w:lastRow="0" w:noHBand="0" w:noVBand="1" w:val="04A0"/>
      </w:tblPr>
      <w:tblGrid>
        <w:gridCol w:w="3402"/>
        <w:gridCol w:w="1701"/>
        <w:gridCol w:w="1701"/>
        <w:gridCol w:w="1701"/>
        <w:gridCol w:w="1701"/>
        <w:gridCol w:w="1701"/>
      </w:tblGrid>
      <w:tr>
        <w:trPr>
          <w:cantSplit w:val="0"/>
          <w:tblHeader w:val="1"/>
        </w:trPr>
        <w:tc>
          <w:tcPr>
            <w:tcW w:type="dxa" w:w="3402"/>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độ</w:t>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lượng</w:t>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1 – Bắt buộc sửa</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 – Cần sửa</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 – Nên sửa</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r>
      <w:tr>
        <w:trPr>
          <w:cantSplit w:val="0"/>
        </w:trPr>
        <w:tc>
          <w:tcPr>
            <w:tcW w:type="dxa" w:w="3402"/>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 – Góp ý nâng cao</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r>
    </w:tbl>
    <w:p>
      <w:pPr>
        <w:spacing w:after="40"/>
      </w:pPr>
    </w:p>
    <w:p>
      <w:pPr>
        <w:spacing w:before="200" w:after="80"/>
      </w:pPr>
      <w:r>
        <w:rPr>
          <w:rFonts w:ascii="Times New Roman" w:hAnsi="Times New Roman"/>
          <w:b/>
          <w:i w:val="0"/>
          <w:color w:val="7030A0"/>
          <w:sz w:val="28"/>
        </w:rPr>
        <w:t>PHẦN V. THẨM ĐỊNH CHUYÊN MÔN</w:t>
      </w:r>
    </w:p>
    <w:p>
      <w:pPr>
        <w:spacing w:after="60" w:line="276" w:lineRule="auto"/>
        <w:jc w:val="both"/>
      </w:pPr>
      <w:r>
        <w:rPr>
          <w:rFonts w:ascii="Times New Roman" w:hAnsi="Times New Roman"/>
          <w:b w:val="0"/>
          <w:i/>
          <w:sz w:val="28"/>
        </w:rPr>
        <w:t>Không có nội dung cần thẩm định chuyên môn.</w:t>
      </w:r>
    </w:p>
    <w:p>
      <w:pPr>
        <w:spacing w:before="200" w:after="80"/>
      </w:pPr>
      <w:r>
        <w:rPr>
          <w:rFonts w:ascii="Times New Roman" w:hAnsi="Times New Roman"/>
          <w:b/>
          <w:i w:val="0"/>
          <w:color w:val="7030A0"/>
          <w:sz w:val="28"/>
        </w:rPr>
        <w:t>PHẦN VI. ĐÁNH GIÁ TỔNG THỂ</w:t>
      </w:r>
    </w:p>
    <w:p>
      <w:pPr>
        <w:spacing w:after="60" w:line="276" w:lineRule="auto"/>
        <w:jc w:val="both"/>
      </w:pPr>
      <w:r>
        <w:rPr>
          <w:rFonts w:ascii="Times New Roman" w:hAnsi="Times New Roman"/>
          <w:b w:val="0"/>
          <w:i w:val="0"/>
          <w:sz w:val="28"/>
        </w:rPr>
        <w:t>Mức độ tuân thủ pháp luật/thể thức: Đạt có điều kiện. Không phát hiện vấn đề Mức 1 (không ảnh hưởng tính hợp pháp hay thẩm quyền ban hành). Còn 3 vấn đề Mức 2 cần xử lý trước khi trình ký: dấu câu cuối phần căn cứ, ký hiệu văn bản viện dẫn thiếu nhất quán cần đơn vị tự xác minh trong hồ sơ lưu, và tên cơ quan "Đảng ủy phường"/"Đảng ủy UBND phường XYZ" dùng chưa thống nhất.</w:t>
      </w:r>
    </w:p>
    <w:p>
      <w:pPr>
        <w:spacing w:after="60" w:line="276" w:lineRule="auto"/>
        <w:jc w:val="both"/>
      </w:pPr>
      <w:r>
        <w:rPr>
          <w:rFonts w:ascii="Times New Roman" w:hAnsi="Times New Roman"/>
          <w:b w:val="0"/>
          <w:i w:val="0"/>
          <w:sz w:val="28"/>
        </w:rPr>
        <w:t>Mức độ sẵn sàng phát hành: Cần chỉnh sửa trước khi trình ký. Các vấn đề Mức 2 nên được đơn vị soạn thảo làm rõ (đặc biệt điểm 3 — xác định đúng đối tượng "Đảng ủy phường") trước khi hoàn thiện văn bản chính thức; các vấn đề Mức 3 có thể sửa nhanh về mặt kỹ thuật trình bày.</w:t>
      </w:r>
    </w:p>
    <w:p>
      <w:pPr>
        <w:spacing w:before="200" w:after="80"/>
      </w:pPr>
      <w:r>
        <w:rPr>
          <w:rFonts w:ascii="Times New Roman" w:hAnsi="Times New Roman"/>
          <w:b/>
          <w:i w:val="0"/>
          <w:color w:val="7030A0"/>
          <w:sz w:val="28"/>
        </w:rPr>
        <w:t>PHẦN VII. KẾT LUẬN VÀ THỨ TỰ XỬ LÝ</w:t>
      </w:r>
    </w:p>
    <w:p>
      <w:pPr>
        <w:spacing w:after="60" w:line="276" w:lineRule="auto"/>
        <w:jc w:val="both"/>
      </w:pPr>
      <w:r>
        <w:rPr>
          <w:rFonts w:ascii="Times New Roman" w:hAnsi="Times New Roman"/>
          <w:b w:val="0"/>
          <w:i w:val="0"/>
          <w:sz w:val="28"/>
        </w:rPr>
        <w:t>Ưu điểm nổi bật: dự thảo bám đúng kết cấu một chương trình công tác Đảng (nhiệm vụ trọng tâm – nội dung trình – tổ chức thực hiện), phân công rõ ràng cho từng đầu việc (chỉ đạo – chủ trì tham mưu – phối hợp), đa số thể thức văn bản Đảng theo HD 05-HD/VPTW (lề, dấu gạch nối, cách đề ký, cách ghi căn cứ ở dòng đầu) được tuân thủ đúng.</w:t>
      </w:r>
    </w:p>
    <w:p>
      <w:pPr>
        <w:spacing w:after="60" w:line="276" w:lineRule="auto"/>
        <w:jc w:val="both"/>
      </w:pPr>
      <w:r>
        <w:rPr>
          <w:rFonts w:ascii="Times New Roman" w:hAnsi="Times New Roman"/>
          <w:b w:val="0"/>
          <w:i w:val="0"/>
          <w:sz w:val="28"/>
        </w:rPr>
        <w:t>Thứ tự ưu tiên xử lý: (1) Làm rõ và thống nhất tên cơ quan "Đảng ủy phường"/"Đảng ủy UBND phường XYZ" — vấn đề số 3, vì ảnh hưởng đến việc hiểu đúng quy trình trình duyệt; (2) Xác minh và thống nhất ký hiệu văn bản viện dẫn "09-CTr/TU" — vấn đề số 1; (3) Sửa dấu câu cuối căn cứ — vấn đề số 2; (4) Điều chỉnh cỡ chữ/kiểu chữ phần tên loại văn bản và phần ký — vấn đề số 4, 5; (5) Cân nhắc góp ý bổ sung mục đích/yêu cầu — vấn đề số 6.</w:t>
      </w:r>
    </w:p>
    <w:p>
      <w:pPr>
        <w:spacing w:after="60" w:line="276" w:lineRule="auto"/>
        <w:jc w:val="both"/>
      </w:pPr>
      <w:r>
        <w:rPr>
          <w:rFonts w:ascii="Times New Roman" w:hAnsi="Times New Roman"/>
          <w:b w:val="0"/>
          <w:i w:val="0"/>
          <w:sz w:val="28"/>
        </w:rPr>
        <w:t>Mức độ rủi ro nếu không chỉnh sửa: các vấn đề Mức 2 không làm mất hiệu lực pháp lý của văn bản nhưng có thể gây hiểu nhầm về quy trình trình duyệt (ai là cấp phê duyệt các nội dung ở Mục II) và về nguồn gốc văn bản viện dẫn; các vấn đề Mức 3 chỉ ảnh hưởng về mặt trình bày, rủi ro thấp.</w:t>
      </w:r>
    </w:p>
    <w:p>
      <w:pPr>
        <w:spacing w:after="60" w:line="276" w:lineRule="auto"/>
        <w:jc w:val="both"/>
      </w:pPr>
      <w:r>
        <w:rPr>
          <w:rFonts w:ascii="Times New Roman" w:hAnsi="Times New Roman"/>
          <w:b w:val="0"/>
          <w:i w:val="0"/>
          <w:sz w:val="28"/>
        </w:rPr>
        <w:t>Kiến nghị chung: đơn vị soạn thảo (Văn phòng Đảng ủy UBND phường XYZ) tự rà lại hồ sơ lưu để xác minh ký hiệu văn bản 09.../2025 và xác định rõ đối tượng "Đảng ủy phường" trước khi hoàn thiện bản trình ký; kết quả rà soát này chỉ mang tính tham khảo, không thay thế trách nhiệm của người soạn thảo, người kiểm tra thể thức và người ký thuộc cơ quan ban hành văn bản.</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Đã rà soát đủ 4 nhóm tiêu chí (thể thức, nội dung, điều khoản bắt buộc, chất lượng soạn thảo) theo đúng hệ quy chiếu văn bản Đảng (HD 05-HD/VPTW, QĐ 399-QĐ/TW), KHÔNG dùng Skill/Checklist của hệ hành chính nhà nước (NĐ 30) và KHÔNG áp Checklist 08/Checklist 04 mục 1-2 (quy ước riêng của Trường Cao đẳng Kon Tum) vì văn bản thuộc cơ quan khác, đúng theo yêu cầu của người dùng. Đã đọc trực tiếp nội dung thật của 6 tài liệu đối chiếu trong kho 01-04 (không chỉ xác nhận kết nối), liệt kê đầy đủ tại Phần I. Đã phân biệt rõ lỗi thực sự (Phần II), nội dung đạt (Phần III) và không có nhận định tư vấn rủi ro riêng (không yêu cầu Phần VIII). Không có hai dòng trùng lặp cùng một vấn đề. Các nội dung thuộc hồ sơ nội bộ của Đảng ủy UBND phường XYZ mà Hệ không có quyền truy cập (ký hiệu văn bản lưu trữ nội bộ, nội dung Quy chế số 10-QC/ĐU, cách viết tắt tên cơ quan "ĐU") đã được ghi rõ là chưa xác minh được, không suy diễn đúng/sai.</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01-Legal-Database/01-03- VB cua TW Dang: HD-05-HD-VPTW_The-thuc-va-ky-thuat-trinh-bay-VB-Dang_20260527_v1.docx; QD-399-QD-TW_The-loai-tham-quyen-the-thuc-VB-Dang_20260109_v1.docx; QD-208-QD-TW_Thi-hanh-Dieu-le-Dang_20260726_v1.docx; HD-02-HD-TW_20260807_v1.docx; NQ-26-NQ-TW_2026_v1.docx; NQ-27-NQ-TW_2026_v1.docx (đã đọc, đối chiếu khớp số hiệu/ngày/trích yếu dự thảo). Skill 29 (Văn bản Đảng) + Phụ lục 2 (cỡ chữ/kiểu chữ) + Phụ lục 3 (tái cơ cấu tổ chức Đảng 2026); Checklist 02 (Nội dung), 03 (Pháp lý), 04 (Ngôn ngữ — chỉ các mục không phải quy ước riêng Trường). KHÔNG dùng Checklist 01, 05 (hành chính NĐ30) và KHÔNG dùng Checklist 08 (quy ước riêng CĐKT) theo yêu cầu rõ ràng của người dùng vì văn bản thuộc cơ quan khác. Thuộc tính định lượng thật (lề, cỡ chữ, kiểu chữ, line spacing) đọc trực tiếp bằng python-docx từ tệp .docx gốc (không dùng tools/_read_input_properties.py vì script đó hiệu chỉnh riêng cho hệ NĐ30/TB597, không đúng cho hệ Đảng). · Công cụ hỗ trợ: Hệ KTC-Ra-Soat-897-v2-Cai-tien (Skill ktc-ra-soat-897, v2.25), chạy ngày 12/10/2026.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[CẦN ĐIỀN TÊN VÀ CHỨC DANH NGƯỜI CHỊU TRÁCH NHIỆM – Phòng TH-HC&amp;QT, Trường Cao đẳng Kon Tum]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2555</Words>
  <Characters>10276</Characters>
  <Application>Microsoft Macintosh Word</Application>
  <DocSecurity>0</DocSecurity>
  <Lines>0</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