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4702"/>
            <w:tcMar>
              <w:top w:w="0" w:type="dxa"/>
              <w:start w:w="60" w:type="dxa"/>
              <w:bottom w:w="0" w:type="dxa"/>
              <w:end w:w="60" w:type="dxa"/>
            </w:tcMar>
            <w:vAlign w:val="center"/>
          </w:tcPr>
          <w:p>
            <w:pPr>
              <w:spacing w:after="0" w:line="240" w:lineRule="auto"/>
              <w:jc w:val="center"/>
            </w:pPr>
            <w:r/>
            <w:r>
              <w:rPr>
                <w:rFonts w:ascii="Times New Roman" w:hAnsi="Times New Roman" w:eastAsia="Times New Roman"/>
                <w:b/>
                <w:sz w:val="26"/>
              </w:rPr>
              <w:t>UBND TỈNH QUẢNG NGÃI</w:t>
              <w:br/>
              <w:t>TRƯỜNG CAO ĐẲNG KON TUM</w:t>
            </w:r>
          </w:p>
        </w:tc>
        <w:tc>
          <w:tcPr>
            <w:tcW w:type="dxa" w:w="4702"/>
            <w:tcMar>
              <w:top w:w="0" w:type="dxa"/>
              <w:start w:w="60" w:type="dxa"/>
              <w:bottom w:w="0" w:type="dxa"/>
              <w:end w:w="60" w:type="dxa"/>
            </w:tcMar>
            <w:vAlign w:val="center"/>
          </w:tcPr>
          <w:p>
            <w:pPr>
              <w:spacing w:after="0" w:line="240" w:lineRule="auto"/>
              <w:jc w:val="center"/>
            </w:pPr>
            <w:r/>
            <w:r>
              <w:rPr>
                <w:rFonts w:ascii="Times New Roman" w:hAnsi="Times New Roman" w:eastAsia="Times New Roman"/>
                <w:b/>
                <w:sz w:val="26"/>
              </w:rPr>
              <w:t>CỘNG HÒA XÃ HỘI CHỦ NGHĨA VIỆT NAM</w:t>
              <w:br/>
              <w:t>Độc lập - Tự do - Hạnh phúc</w:t>
            </w:r>
          </w:p>
        </w:tc>
      </w:tr>
    </w:tbl>
    <w:p>
      <w:pPr>
        <w:spacing w:before="60" w:after="100"/>
        <w:jc w:val="center"/>
      </w:pPr>
      <w:r>
        <w:rPr>
          <w:rFonts w:ascii="Times New Roman" w:hAnsi="Times New Roman"/>
          <w:sz w:val="26"/>
        </w:rPr>
        <w:t>Số:      /BC-CĐKT</w:t>
      </w:r>
      <w:r>
        <w:tab/>
        <w:tab/>
      </w:r>
      <w:r>
        <w:rPr>
          <w:rFonts w:ascii="Times New Roman" w:hAnsi="Times New Roman"/>
          <w:i/>
          <w:sz w:val="26"/>
        </w:rPr>
        <w:t>Quảng Ngãi, ngày 14 tháng 8 năm 2026</w:t>
      </w:r>
    </w:p>
    <w:p>
      <w:pPr>
        <w:keepNext/>
        <w:spacing w:before="80" w:after="0" w:line="276" w:lineRule="auto"/>
        <w:jc w:val="center"/>
      </w:pPr>
      <w:r>
        <w:rPr>
          <w:rFonts w:ascii="Times New Roman" w:hAnsi="Times New Roman" w:eastAsia="Times New Roman"/>
          <w:b/>
          <w:i w:val="0"/>
          <w:sz w:val="28"/>
        </w:rPr>
        <w:t>BÁO CÁO</w:t>
      </w:r>
    </w:p>
    <w:p>
      <w:pPr>
        <w:keepNext w:val="0"/>
        <w:spacing w:before="0" w:after="120" w:line="276" w:lineRule="auto"/>
        <w:jc w:val="center"/>
      </w:pPr>
      <w:r>
        <w:rPr>
          <w:rFonts w:ascii="Times New Roman" w:hAnsi="Times New Roman" w:eastAsia="Times New Roman"/>
          <w:b/>
          <w:i w:val="0"/>
          <w:sz w:val="28"/>
        </w:rPr>
        <w:t>Kết quả công tác tháng 7 và kế hoạch công tác tháng 8 năm 2026</w:t>
      </w:r>
    </w:p>
    <w:p>
      <w:pPr>
        <w:keepNext w:val="0"/>
        <w:spacing w:before="0" w:after="160" w:line="276" w:lineRule="auto"/>
        <w:jc w:val="center"/>
      </w:pPr>
      <w:r>
        <w:rPr>
          <w:rFonts w:ascii="Times New Roman" w:hAnsi="Times New Roman" w:eastAsia="Times New Roman"/>
          <w:b w:val="0"/>
          <w:i/>
          <w:sz w:val="24"/>
        </w:rPr>
        <w:t>(Bản chạy thử – dữ liệu của 02 đơn vị)</w:t>
      </w:r>
    </w:p>
    <w:p>
      <w:pPr>
        <w:keepNext w:val="0"/>
        <w:spacing w:before="0" w:after="100" w:line="276" w:lineRule="auto"/>
        <w:jc w:val="center"/>
      </w:pPr>
      <w:r>
        <w:rPr>
          <w:rFonts w:ascii="Times New Roman" w:hAnsi="Times New Roman" w:eastAsia="Times New Roman"/>
          <w:b w:val="0"/>
          <w:i w:val="0"/>
          <w:sz w:val="26"/>
        </w:rPr>
        <w:t>Kính gửi: Ủy ban nhân dân tỉnh Quảng Ngãi.</w:t>
      </w:r>
    </w:p>
    <w:p>
      <w:pPr>
        <w:keepNext w:val="0"/>
        <w:spacing w:before="0" w:after="0" w:line="276" w:lineRule="auto"/>
        <w:ind w:firstLine="567"/>
        <w:jc w:val="both"/>
      </w:pPr>
      <w:r>
        <w:rPr>
          <w:rFonts w:ascii="Times New Roman" w:hAnsi="Times New Roman" w:eastAsia="Times New Roman"/>
          <w:b w:val="0"/>
          <w:i w:val="0"/>
          <w:sz w:val="26"/>
        </w:rPr>
        <w:t>Căn cứ Quyết định số 38/2026/QĐ-UBND ngày 29 tháng 4 năm 2026 của Ủy ban nhân dân tỉnh Quảng Ngãi ban hành Quy chế làm việc của Ủy ban nhân dân tỉnh; trên cơ sở báo cáo của Phòng Quản lý khoa học, công nghệ và Hợp tác phát triển và Phòng Quản lý đào tạo và Bảo đảm chất lượng, Trường Cao đẳng Kon Tum báo cáo kết quả công tác tháng 7 và kế hoạch công tác tháng 8 năm 2026 như sau:</w:t>
      </w:r>
    </w:p>
    <w:p>
      <w:pPr>
        <w:keepNext/>
        <w:spacing w:before="80" w:after="40" w:line="276" w:lineRule="auto"/>
        <w:jc w:val="both"/>
      </w:pPr>
      <w:r>
        <w:rPr>
          <w:rFonts w:ascii="Times New Roman" w:hAnsi="Times New Roman" w:eastAsia="Times New Roman"/>
          <w:b/>
          <w:i w:val="0"/>
          <w:sz w:val="26"/>
        </w:rPr>
        <w:t>I. KẾT QUẢ THỰC HIỆN CÔNG TÁC THÁNG 7 NĂM 2026</w:t>
      </w:r>
    </w:p>
    <w:p>
      <w:pPr>
        <w:keepNext/>
        <w:spacing w:before="60" w:after="0" w:line="276" w:lineRule="auto"/>
        <w:jc w:val="both"/>
      </w:pPr>
      <w:r>
        <w:rPr>
          <w:rFonts w:ascii="Times New Roman" w:hAnsi="Times New Roman" w:eastAsia="Times New Roman"/>
          <w:b/>
          <w:i w:val="0"/>
          <w:sz w:val="26"/>
        </w:rPr>
        <w:t>1. Trục 1: Thực hiện mục tiêu phát triển kinh tế - xã hội và nhiệm vụ chính trị được giao</w:t>
      </w:r>
    </w:p>
    <w:p>
      <w:pPr>
        <w:keepNext w:val="0"/>
        <w:spacing w:before="0" w:after="0" w:line="276" w:lineRule="auto"/>
        <w:ind w:firstLine="397"/>
        <w:jc w:val="both"/>
      </w:pPr>
      <w:r>
        <w:rPr>
          <w:rFonts w:ascii="Times New Roman" w:hAnsi="Times New Roman" w:eastAsia="Times New Roman"/>
          <w:b w:val="0"/>
          <w:i w:val="0"/>
          <w:sz w:val="26"/>
        </w:rPr>
        <w:t>- Phòng QLKHCN&amp;HTPT đã thực hiện 71 nhiệm vụ; nổi bật: Kế hoạch đón học sinh các lớp K7T Hàn 1 và K7T Hàn 2, trình độ trung cấp, khoa Kỹ thuật và Công nghệ đi thực hành, thực tập tại cơ sở về lại Trường, năm 2026 (Kế hoạch số 593/KH-CĐKT ngày 15/6/2026); Thông báo phân công nhà giáo đánh giá Bài tập lớn của sinh viên lớp K8C Chăn nuôi, học kỳ II, khoá học 2025 - 2028 (Thông báo số 696/TB-CĐKT ngày 15/6/2026); Thông báo phân công nhà giáo đánh giá Bài tập lớn của sinh viên K7C Lâm sinh, học kỳ IV, khoá 2024 - 2027 (Thông báo số 695/TB-CĐKT ngày 15/6/2026); Thông báo phân công nhà giáo đánh giá Bài tập lớn của sinh viên lớp K8C Lâm sinh, học kỳ II, khoá học 2025 - 2028 (Thông báo số 694/TB-CĐKT ngày 15/6/2026); Kế hoạch đưa học sinh lớp K7T Trồng trọt 2 thuộc khoa Kinh tế và Nông Lâm đi thực hành, thực tập tại cơ sở năm học 2025-2026 (Kê hoạch số 592/KH-CĐKT); cùng 66 nhiệm vụ khác được chi tiết tại Phụ lục IIb.</w:t>
      </w:r>
    </w:p>
    <w:p>
      <w:pPr>
        <w:keepNext w:val="0"/>
        <w:spacing w:before="0" w:after="0" w:line="276" w:lineRule="auto"/>
        <w:ind w:firstLine="397"/>
        <w:jc w:val="both"/>
      </w:pPr>
      <w:r>
        <w:rPr>
          <w:rFonts w:ascii="Times New Roman" w:hAnsi="Times New Roman" w:eastAsia="Times New Roman"/>
          <w:b w:val="0"/>
          <w:i w:val="0"/>
          <w:sz w:val="26"/>
        </w:rPr>
        <w:t>- Phòng QLĐT&amp;BĐCL đã thực hiện 6 nhiệm vụ; nổi bật: Công bố ngưỡng đầu vào trình độ cao đẳng ngành Giáo dục Mầm non, hình thức đào tạo chính quy năm 2026 (Quyết định); Thống kê, tổng hợp khối lượng xây dựng, thẩm định chuẩn năng lực đầu ra, chương trình đào tạo và biên soạn, thẩm định giáo trình đào tạo các ngành, nghề, năm học 2025-2026 (từ ngày… (Thông báo); Kế hoạch triển khai thực hiện Thông tư số 43/2026/TT-BGDĐT ngày 09/6/2026 của Bộ trưởng Bộ Giáo dục và Đào tạo quy định tiêu chuẩn người dạy nghề (Kế hoạch); Công văn gửi Sở Giáo dục và Đào tạo hướng dẫn một số nội dung liên quan đến công tác triển khai đào tạo trình độ sơ cấp, đào tạo dưới 3 tháng trong năm 2026 và các năm tiếp teo (Công văn); Tổ chức thi kết thúc học phần, môn học, mô đun cải thiện điểm, thi lại, học lại học kỳ II, năm học 2025-2026 các lớp trình độ trung cấp, cao đẳng (Bảng thống kê); cùng 1 nhiệm vụ khác được chi tiết tại Phụ lục IIb.</w:t>
      </w:r>
    </w:p>
    <w:p>
      <w:pPr>
        <w:keepNext/>
        <w:spacing w:before="60" w:after="0" w:line="276" w:lineRule="auto"/>
        <w:jc w:val="both"/>
      </w:pPr>
      <w:r>
        <w:rPr>
          <w:rFonts w:ascii="Times New Roman" w:hAnsi="Times New Roman" w:eastAsia="Times New Roman"/>
          <w:b/>
          <w:i w:val="0"/>
          <w:sz w:val="26"/>
        </w:rPr>
        <w:t>2. Trục 2: Hoàn thiện thể chế, đẩy mạnh phân cấp, phân quyền gắn với kiểm tra, giám sát</w:t>
      </w:r>
    </w:p>
    <w:p>
      <w:pPr>
        <w:keepNext w:val="0"/>
        <w:spacing w:before="0" w:after="0" w:line="276" w:lineRule="auto"/>
        <w:ind w:firstLine="397"/>
        <w:jc w:val="both"/>
      </w:pPr>
      <w:r>
        <w:rPr>
          <w:rFonts w:ascii="Times New Roman" w:hAnsi="Times New Roman" w:eastAsia="Times New Roman"/>
          <w:b w:val="0"/>
          <w:i w:val="0"/>
          <w:sz w:val="26"/>
        </w:rPr>
        <w:t>- Phòng QLKHCN&amp;HTPT đã thực hiện 7 nhiệm vụ; nổi bật: Công văn cử viên chức tham dự Hội nghị tập huấn tuyên truyền phổ biến các quy định mới về lĩnh vực năng lượng nguyên tử trên địa bàn tỉnh Quảng Ngãi năm 2026 (Công văn số 448/CĐKT-QLKHCN); Công văn góp ý Dự thảo Thông tư quy định quan trắc và cảnh báo phóng xạ môi trường (Công văn số 451/CĐKT-QLKHCN); Quyết định ban hành nội dung, mức chi quản lý hoạt động khoa học, công nghệ, đổi mới sáng tạo và sáng kiến; thực hiện nhiệm vụ khoa học, công nghệ và đổi mới sáng tạo (Biên bản số 132/BB-CĐKT ngày 19/6/2026; Quyết định số 1428 /QĐ-CĐKT ngày…); Công văn góp ý Dự thảo văn bản triển khai thực hiện Quyết định số 32/QĐ-BCĐPTCNBD ngày 05/4/2026 của Trưởng Ban Chỉ đạo quốc gia về phát triển ngành công nghiệp bán dẫn (Công văn số 467/ CĐKT- QLKHCN ngày 24/62026); Báo cáo kết quả thực hiện chương trình công tác Quý II năm 2026 và chương trình công tác trọng tâm Quý III năm 2026 của Ban Thanh tra nhân dân (Báo cáo số 03/BC-BTTND ngày 24/6/2026); cùng 2 nhiệm vụ khác được chi tiết tại Phụ lục IIb.</w:t>
      </w:r>
    </w:p>
    <w:p>
      <w:pPr>
        <w:keepNext w:val="0"/>
        <w:spacing w:before="0" w:after="0" w:line="276" w:lineRule="auto"/>
        <w:ind w:firstLine="397"/>
        <w:jc w:val="both"/>
      </w:pPr>
      <w:r>
        <w:rPr>
          <w:rFonts w:ascii="Times New Roman" w:hAnsi="Times New Roman" w:eastAsia="Times New Roman"/>
          <w:b w:val="0"/>
          <w:i w:val="0"/>
          <w:sz w:val="26"/>
        </w:rPr>
        <w:t>- Phòng QLĐT&amp;BĐCL đã thực hiện 2 nhiệm vụ; nổi bật: Kiểm tra về công tác bảo đảm sĩ số học sinh, sinh viên các lớp học chính quy tại Trường trong năm học đối với các khoa thuộc Trường (Quyết định; Kế hoạch); Tham mưu Quyết định kiện toàn Hội đồng và các Nhóm chuyên trách của Hội đồng tự đánh giá CTĐT Giáo dục mầm non năm 2026 (Quyết định).</w:t>
      </w:r>
    </w:p>
    <w:p>
      <w:pPr>
        <w:keepNext/>
        <w:spacing w:before="60" w:after="0" w:line="276" w:lineRule="auto"/>
        <w:jc w:val="both"/>
      </w:pPr>
      <w:r>
        <w:rPr>
          <w:rFonts w:ascii="Times New Roman" w:hAnsi="Times New Roman" w:eastAsia="Times New Roman"/>
          <w:b/>
          <w:i w:val="0"/>
          <w:sz w:val="26"/>
        </w:rPr>
        <w:t>3. Trục 3: Thúc đẩy phát triển khoa học, công nghệ, đổi mới sáng tạo và chuyển đổi số</w:t>
      </w:r>
    </w:p>
    <w:p>
      <w:pPr>
        <w:keepNext w:val="0"/>
        <w:spacing w:before="0" w:after="0" w:line="276" w:lineRule="auto"/>
        <w:ind w:firstLine="397"/>
        <w:jc w:val="both"/>
      </w:pPr>
      <w:r>
        <w:rPr>
          <w:rFonts w:ascii="Times New Roman" w:hAnsi="Times New Roman" w:eastAsia="Times New Roman"/>
          <w:b w:val="0"/>
          <w:i w:val="0"/>
          <w:sz w:val="26"/>
        </w:rPr>
        <w:t>- Phòng QLKHCN&amp;HTPT đã thực hiện 9 nhiệm vụ; nổi bật: Cv đề xuất nhu cầu trang bị thêm access point wifi tại các đơn vị (Công văn số 444/CĐKT-QLKHCN); Thông báo quy đổi số giờ đối với nhà giáo giảng dạy các lớp tập huấn, bồi dưỡng “Ứng dụng trí tuệ nhân tạo trong dạy học năm 2025”, “Sử dụng hệ thống đào tạo trực tuyến và công cụ hỗ… (Thông báo số 735/TB-CĐKT ngày 24/6/2026); Báo cáo kết quả các lớp Bồi dưỡng kỹ năng “Ứng dụng trí tuệ nhân tạo trong công tác hành chính – Năm 2026” (Báo cáo số 306/BC-CĐKT ngày 29/6/2026); Công văn phối hợp cung cấp thông tin phục vụ điều tra nghiên cứu và phát triển khoa học và công nghệ năm 2026 (Công văn số 480/CĐKT-QLKHCN); Báo cáo kết quả thực hiện nhiệm vụ tăng cường đảm bảo an toàn, an ninh mạng, bảo mật dữ liệu cho hệ thống thông tin Quí III/2026 (Báo cáo số 328/BC-CĐKT); cùng 4 nhiệm vụ khác được chi tiết tại Phụ lục IIb.</w:t>
      </w:r>
    </w:p>
    <w:p>
      <w:pPr>
        <w:keepNext w:val="0"/>
        <w:spacing w:before="0" w:after="0" w:line="276" w:lineRule="auto"/>
        <w:ind w:firstLine="397"/>
        <w:jc w:val="both"/>
      </w:pPr>
      <w:r>
        <w:rPr>
          <w:rFonts w:ascii="Times New Roman" w:hAnsi="Times New Roman" w:eastAsia="Times New Roman"/>
          <w:b w:val="0"/>
          <w:i w:val="0"/>
          <w:sz w:val="26"/>
        </w:rPr>
        <w:t>- Phòng QLĐT&amp;BĐCL đã thực hiện 1 nhiệm vụ; nổi bật: Tổ chức thi học kỳ II năm học 2025-2026 cho một số học phần, môn học, mô đun của các lớp bằng hình thức thi trắc nghiệm online khách quan trên phần mềm Unisoft Thiên An (Bảng thống kê).</w:t>
      </w:r>
    </w:p>
    <w:p>
      <w:pPr>
        <w:keepNext/>
        <w:spacing w:before="60" w:after="0" w:line="276" w:lineRule="auto"/>
        <w:jc w:val="both"/>
      </w:pPr>
      <w:r>
        <w:rPr>
          <w:rFonts w:ascii="Times New Roman" w:hAnsi="Times New Roman" w:eastAsia="Times New Roman"/>
          <w:b/>
          <w:i w:val="0"/>
          <w:sz w:val="26"/>
        </w:rPr>
        <w:t>4. Trục 4: Xây dựng Đảng và hệ thống chính trị trong sạch, vững mạnh; phòng, chống tham nhũng, lãng phí, tiêu cực</w:t>
      </w:r>
    </w:p>
    <w:p>
      <w:pPr>
        <w:keepNext w:val="0"/>
        <w:spacing w:before="0" w:after="0" w:line="276" w:lineRule="auto"/>
        <w:ind w:firstLine="397"/>
        <w:jc w:val="both"/>
      </w:pPr>
      <w:r>
        <w:rPr>
          <w:rFonts w:ascii="Times New Roman" w:hAnsi="Times New Roman" w:eastAsia="Times New Roman"/>
          <w:b w:val="0"/>
          <w:i w:val="0"/>
          <w:sz w:val="26"/>
        </w:rPr>
        <w:t>- Phòng QLKHCN&amp;HTPT đã thực hiện 8 nhiệm vụ; nổi bật: Dự trù kinh phí mở lớp Bồi dưỡng Lý luận chính trị dành cho đảng viên mới (lớp thứ nhất năm 2026) (Dự trù kinh phí); Công văn về việc nộp kinh phí lớp bồi dưỡng lý luận chính trị dành cho đảng viên mới (Lớp thứ nhất năm 2026) (Công văn số 20, 21,22,23,24, 73,74,75-CV/ĐU ngày 19/6/2026); Công văn tham gia ý kiến về Bộ chỉ số theo dõi, giám sát việc thực hiện mục tiêu, nhiệm vụ tại Nghị quyết 68/NQ-TW (Công văn số 466/CĐKT-QLKHCN ngày 25/6/2026); Họp đánh giá viên chức Quý II năm 2026 (Cuộc họp); Báo cáo tình hình thực hiện nhiệm vụ tháng 6 và nhiệm vụ công tác trọng tâm tháng 7 năm 2026 (Báo cáo số 87-BC/ĐU ngày 08/7/2026); cùng 3 nhiệm vụ khác được chi tiết tại Phụ lục IIb.</w:t>
      </w:r>
    </w:p>
    <w:p>
      <w:pPr>
        <w:keepNext w:val="0"/>
        <w:spacing w:before="0" w:after="0" w:line="276" w:lineRule="auto"/>
        <w:ind w:firstLine="397"/>
        <w:jc w:val="both"/>
      </w:pPr>
      <w:r>
        <w:rPr>
          <w:rFonts w:ascii="Times New Roman" w:hAnsi="Times New Roman" w:eastAsia="Times New Roman"/>
          <w:b w:val="0"/>
          <w:i w:val="0"/>
          <w:sz w:val="26"/>
        </w:rPr>
        <w:t>- Phòng QLĐT&amp;BĐCL đã thực hiện 1 nhiệm vụ; nổi bật: Báo cáo công tác PCTNTC định kỳ các tháng trong quý III (Báo cáo).</w:t>
      </w:r>
    </w:p>
    <w:p>
      <w:pPr>
        <w:keepNext/>
        <w:spacing w:before="60" w:after="0" w:line="276" w:lineRule="auto"/>
        <w:jc w:val="both"/>
      </w:pPr>
      <w:r>
        <w:rPr>
          <w:rFonts w:ascii="Times New Roman" w:hAnsi="Times New Roman" w:eastAsia="Times New Roman"/>
          <w:b/>
          <w:i w:val="0"/>
          <w:sz w:val="26"/>
        </w:rPr>
        <w:t>5. Trục 5: Phát triển văn hóa, con người, bảo đảm an sinh xã hội, nâng cao đời sống Nhân dân</w:t>
      </w:r>
    </w:p>
    <w:p>
      <w:pPr>
        <w:keepNext w:val="0"/>
        <w:spacing w:before="0" w:after="0" w:line="276" w:lineRule="auto"/>
        <w:ind w:firstLine="397"/>
        <w:jc w:val="both"/>
      </w:pPr>
      <w:r>
        <w:rPr>
          <w:rFonts w:ascii="Times New Roman" w:hAnsi="Times New Roman" w:eastAsia="Times New Roman"/>
          <w:b w:val="0"/>
          <w:i w:val="0"/>
          <w:sz w:val="26"/>
        </w:rPr>
        <w:t>- Phòng QLKHCN&amp;HTPT đã thực hiện 3 nhiệm vụ; nổi bật: Tham gia tuyên truyền pháp luật về ma tuý (Thông báo số 755/TB-CĐKT ngày 01/7/2026); Tham dự Ngày hội việc làm cho HSSV năm 2026 (Ngày hội việc làm); Họp Hội đồng xét hưởng chế độ phụ cấp ưu đãi theo nghề đối với nhà giáo, cán bộ quản lý và nhân sự hỗ trợ giáo dục nhà trường (Hội đồng).</w:t>
      </w:r>
    </w:p>
    <w:p>
      <w:pPr>
        <w:keepNext/>
        <w:spacing w:before="60" w:after="0" w:line="276" w:lineRule="auto"/>
        <w:jc w:val="both"/>
      </w:pPr>
      <w:r>
        <w:rPr>
          <w:rFonts w:ascii="Times New Roman" w:hAnsi="Times New Roman" w:eastAsia="Times New Roman"/>
          <w:b/>
          <w:i w:val="0"/>
          <w:sz w:val="26"/>
        </w:rPr>
        <w:t>6. Trục 6: Củng cố quốc phòng, an ninh, giữ vững ổn định chính trị - xã hội, nâng cao hiệu quả đối ngoại và hội nhập quốc tế</w:t>
      </w:r>
    </w:p>
    <w:p>
      <w:pPr>
        <w:keepNext w:val="0"/>
        <w:spacing w:before="0" w:after="0" w:line="276" w:lineRule="auto"/>
        <w:ind w:firstLine="397"/>
        <w:jc w:val="both"/>
      </w:pPr>
      <w:r>
        <w:rPr>
          <w:rFonts w:ascii="Times New Roman" w:hAnsi="Times New Roman" w:eastAsia="Times New Roman"/>
          <w:b w:val="0"/>
          <w:i w:val="0"/>
          <w:sz w:val="26"/>
        </w:rPr>
        <w:t>- Phòng QLKHCN&amp;HTPT đã thực hiện 5 nhiệm vụ; nổi bật: Công văn đăng ký nhà giáo tham dự Hội thảo trực tuyến “Kỹ năng viết và công bố bài báo quốc tế trong các cơ sở giáo dục đại học, cơ sở giáo dục nghề nghiệp” (Công văn số 457/CĐKT-QLKHCN ngày 19/6/2026); Kế hoạch tham dự Diễn đàn Kinh tế tư nhân Việt Nam năm 2026 (Kế hoạch số 633/KH-CĐKT); Báo cáo tham dự Đại hội Hiệp hội Cao đẳng Cộng đồng Việt Nam nhiệm kỳ 2026 -2031, Lễ Kỷ niệm 20 năm thành lập Đại học Trà Vinh và 25 năm triển khai mô hình Cao đẳng Cộng đồng tại Đại… (Báo cáo số 315/BC-CĐKT ngày 05/7/2026); Công văn cử nhà giáo tham dự Hội nghị thông tin, tuyên truyền cho đội ngũ trí thức trên địa bàn tỉnh (Công văn 492/CĐKT-QLKHCN ngày 08/7/2026); Quyết định phân bổ kinh phí đoàn ra, đoàn vào năm 2026 (Quyết định số 1624/QĐ-CĐKT ngày 14/7/2026).</w:t>
      </w:r>
    </w:p>
    <w:p>
      <w:pPr>
        <w:keepNext w:val="0"/>
        <w:spacing w:before="0" w:after="0" w:line="276" w:lineRule="auto"/>
        <w:ind w:firstLine="397"/>
        <w:jc w:val="both"/>
      </w:pPr>
      <w:r>
        <w:rPr>
          <w:rFonts w:ascii="Times New Roman" w:hAnsi="Times New Roman" w:eastAsia="Times New Roman"/>
          <w:b w:val="0"/>
          <w:i w:val="0"/>
          <w:sz w:val="26"/>
        </w:rPr>
        <w:t>- Phòng QLĐT&amp;BĐCL đã thực hiện 2 nhiệm vụ; nổi bật: Tổ chức cho HSSV học GDQP và an ninh (đợt 2) (Thông báo); Kế hoạch triển khai ứng dụng công nghệ thông tin trong đào tạo trực tuyến năm học 2026-2027 (Kế hoạch).</w:t>
      </w:r>
    </w:p>
    <w:p>
      <w:pPr>
        <w:keepNext/>
        <w:spacing w:before="60" w:after="0" w:line="276" w:lineRule="auto"/>
        <w:jc w:val="both"/>
      </w:pPr>
      <w:r>
        <w:rPr>
          <w:rFonts w:ascii="Times New Roman" w:hAnsi="Times New Roman" w:eastAsia="Times New Roman"/>
          <w:b/>
          <w:i w:val="0"/>
          <w:sz w:val="26"/>
        </w:rPr>
        <w:t>7. Nhiệm vụ đột xuất, phát sinh ngoài kế hoạch</w:t>
      </w:r>
    </w:p>
    <w:p>
      <w:pPr>
        <w:keepNext w:val="0"/>
        <w:spacing w:before="0" w:after="0" w:line="276" w:lineRule="auto"/>
        <w:ind w:firstLine="397"/>
        <w:jc w:val="both"/>
      </w:pPr>
      <w:r>
        <w:rPr>
          <w:rFonts w:ascii="Times New Roman" w:hAnsi="Times New Roman" w:eastAsia="Times New Roman"/>
          <w:b w:val="0"/>
          <w:i w:val="0"/>
          <w:sz w:val="26"/>
        </w:rPr>
        <w:t>- Kế hoạch triển khai ứng dụng công nghệ thông tin trong đào tạo trực tuyến năm học 2026-2027 (Kế hoạch); đơn vị chủ trì: Phòng QLĐT&amp;BĐCL.</w:t>
      </w:r>
    </w:p>
    <w:p>
      <w:pPr>
        <w:keepNext/>
        <w:spacing w:before="100" w:after="40" w:line="276" w:lineRule="auto"/>
        <w:jc w:val="both"/>
      </w:pPr>
      <w:r>
        <w:rPr>
          <w:rFonts w:ascii="Times New Roman" w:hAnsi="Times New Roman" w:eastAsia="Times New Roman"/>
          <w:b/>
          <w:i w:val="0"/>
          <w:sz w:val="26"/>
        </w:rPr>
        <w:t>II. KẾ HOẠCH CÔNG TÁC THÁNG 8 NĂM 2026</w:t>
      </w:r>
    </w:p>
    <w:p>
      <w:pPr>
        <w:keepNext/>
        <w:spacing w:before="60" w:after="0" w:line="276" w:lineRule="auto"/>
        <w:jc w:val="both"/>
      </w:pPr>
      <w:r>
        <w:rPr>
          <w:rFonts w:ascii="Times New Roman" w:hAnsi="Times New Roman" w:eastAsia="Times New Roman"/>
          <w:b/>
          <w:i w:val="0"/>
          <w:sz w:val="26"/>
        </w:rPr>
        <w:t>1. Trục 1: Thực hiện mục tiêu phát triển kinh tế - xã hội và nhiệm vụ chính trị được giao</w:t>
      </w:r>
    </w:p>
    <w:p>
      <w:pPr>
        <w:keepNext w:val="0"/>
        <w:spacing w:before="0" w:after="0" w:line="276" w:lineRule="auto"/>
        <w:ind w:firstLine="397"/>
        <w:jc w:val="both"/>
      </w:pPr>
      <w:r>
        <w:rPr>
          <w:rFonts w:ascii="Times New Roman" w:hAnsi="Times New Roman" w:eastAsia="Times New Roman"/>
          <w:b w:val="0"/>
          <w:i w:val="0"/>
          <w:sz w:val="26"/>
        </w:rPr>
        <w:t>- Phòng QLĐT&amp;BĐCL: Công bố danh sách trúng tuyển đợt 1 (xét tuyển trên cổng tuyển sinh chung toàn quốc); Hoàn thiện hồ sơ triển khai hoạt động đào tạo năm học 2025-2026; Công tác chuẩn bị cho năm học 2026-2027; Xét tốt nghiệp cho học sinh, sinh viên các lớp trình độ cao đẳng khóa học 2023 - 2026 và các lớp trình độ trung cấp khóa học 2024 - 2026; Triển khai hoạt động liên kết đào tạo với doanh nghiệp tổ chức chức thực hành, thực tập tạo cơ sở; cùng 20 nhiệm vụ khác tại Phụ lục Ib.</w:t>
      </w:r>
    </w:p>
    <w:p>
      <w:pPr>
        <w:keepNext w:val="0"/>
        <w:spacing w:before="0" w:after="0" w:line="276" w:lineRule="auto"/>
        <w:ind w:firstLine="397"/>
        <w:jc w:val="both"/>
      </w:pPr>
      <w:r>
        <w:rPr>
          <w:rFonts w:ascii="Times New Roman" w:hAnsi="Times New Roman" w:eastAsia="Times New Roman"/>
          <w:b w:val="0"/>
          <w:i w:val="0"/>
          <w:sz w:val="26"/>
        </w:rPr>
        <w:t>- Phòng QLKHCN&amp;HTPT: Đối với UBND các xã, phường, đặc khu Lý Sơn: Tổng hợp nhu cầu hỗ trợ đào tạo và đề xuất nhu cầu dự toán kinh phí hỗ trợ đào tạo về quản trị cho hộ kinh doanh, cá nhân kinh doanh năm…; Báo cáo kết quả hợp tác doanh nghiệp năm học 2025-2026; Kế hoạch đón học sinh, sinh viên đi thực hành, thực tập tại cơ sở về lại Trường; Nộp hồ sơ minh chứng tự đánh giá chất lượng nhà trường năm 2026; Xây dựng Mục tiêu và kế hoạch thực hiện Mục tiêu chất lượng năm học 2026-2027; cùng 1 nhiệm vụ khác tại Phụ lục Ib.</w:t>
      </w:r>
    </w:p>
    <w:p>
      <w:pPr>
        <w:keepNext/>
        <w:spacing w:before="60" w:after="0" w:line="276" w:lineRule="auto"/>
        <w:jc w:val="both"/>
      </w:pPr>
      <w:r>
        <w:rPr>
          <w:rFonts w:ascii="Times New Roman" w:hAnsi="Times New Roman" w:eastAsia="Times New Roman"/>
          <w:b/>
          <w:i w:val="0"/>
          <w:sz w:val="26"/>
        </w:rPr>
        <w:t>2. Trục 2: Hoàn thiện thể chế, đẩy mạnh phân cấp, phân quyền gắn với kiểm tra, giám sát</w:t>
      </w:r>
    </w:p>
    <w:p>
      <w:pPr>
        <w:keepNext w:val="0"/>
        <w:spacing w:before="0" w:after="0" w:line="276" w:lineRule="auto"/>
        <w:ind w:firstLine="397"/>
        <w:jc w:val="both"/>
      </w:pPr>
      <w:r>
        <w:rPr>
          <w:rFonts w:ascii="Times New Roman" w:hAnsi="Times New Roman" w:eastAsia="Times New Roman"/>
          <w:b w:val="0"/>
          <w:i w:val="0"/>
          <w:sz w:val="26"/>
        </w:rPr>
        <w:t>- Phòng QLĐT&amp;BĐCL: Kiểm tra về công tác bảo đảm sĩ số học sinh, sinh viên các lớp học chính quy tại Trường trong năm học đối với các khoa thuộc Trường; Tham mưu xây dựng và ban hành kế hoạch kiểm tra năm học 2026-2027; Tham mưu xây dựng và ban hành kế hoạch kiểm tra hoạt động dạy và năm học 2026-2027; Kiểm tra Sổ tay nhà giáo chủ nhiệm lớp học và hồ sơ dự giờ nhà giáo các bộ môn thuộc khoa các Khoa học cơ bản.</w:t>
      </w:r>
    </w:p>
    <w:p>
      <w:pPr>
        <w:keepNext w:val="0"/>
        <w:spacing w:before="0" w:after="0" w:line="276" w:lineRule="auto"/>
        <w:ind w:firstLine="397"/>
        <w:jc w:val="both"/>
      </w:pPr>
      <w:r>
        <w:rPr>
          <w:rFonts w:ascii="Times New Roman" w:hAnsi="Times New Roman" w:eastAsia="Times New Roman"/>
          <w:b w:val="0"/>
          <w:i w:val="0"/>
          <w:sz w:val="26"/>
        </w:rPr>
        <w:t>- Phòng QLKHCN&amp;HTPT: Sửa đổi, cập nhật Quy định quản lý và tổ chức sinh hoạt khoa học của các khoa; Tham mưu Quyết định ban hành hệ thống bảng kiểm bảo đảm sĩ số học sinh sinh viên từ đầu đến cuối khoá học.</w:t>
      </w:r>
    </w:p>
    <w:p>
      <w:pPr>
        <w:keepNext/>
        <w:spacing w:before="60" w:after="0" w:line="276" w:lineRule="auto"/>
        <w:jc w:val="both"/>
      </w:pPr>
      <w:r>
        <w:rPr>
          <w:rFonts w:ascii="Times New Roman" w:hAnsi="Times New Roman" w:eastAsia="Times New Roman"/>
          <w:b/>
          <w:i w:val="0"/>
          <w:sz w:val="26"/>
        </w:rPr>
        <w:t>3. Trục 3: Thúc đẩy phát triển khoa học, công nghệ, đổi mới sáng tạo và chuyển đổi số</w:t>
      </w:r>
    </w:p>
    <w:p>
      <w:pPr>
        <w:keepNext w:val="0"/>
        <w:spacing w:before="0" w:after="0" w:line="276" w:lineRule="auto"/>
        <w:ind w:firstLine="397"/>
        <w:jc w:val="both"/>
      </w:pPr>
      <w:r>
        <w:rPr>
          <w:rFonts w:ascii="Times New Roman" w:hAnsi="Times New Roman" w:eastAsia="Times New Roman"/>
          <w:b w:val="0"/>
          <w:i w:val="0"/>
          <w:sz w:val="26"/>
        </w:rPr>
        <w:t>- Phòng QLKHCN&amp;HTPT: Tham mưu Kế hoạch triển khai thực hiện Thông tư số 49/2026/TT-BGDĐT ngày 30/6/2026 của Bộ trưởng Bộ Giáo dục và Đào tạo quy định ứng dụng công nghệ trong giáo dục đại học, giáo dục…; Tham mưu Thông báo viết bài Hội thảo khoa học chuyên đề "Chuyển đổi số toàn diện, gắn quản trị với nâng cao chất lượng đào tạo”, hoàn thành trước ngày 31/7/2026; Tham mưu Thông báo đăng ký tập huấn tập huấn, bồi dưỡng chuyên sâu về xây dựng học liệu số, bài giảng điện tử theo chuẩn SCORM/xAPI; nâng cao hiệu quả khai thác hệ thống LMS, hoàn…; Bồi dưỡng, tập huấn cập nhật, nâng cao trình độ về chuyển đổi số, kỹ năng số cho cán bộ, công chức, viên chức và người lao động trong khu vực công trên địa bàn tỉnh Quảng Ngãi năm 2026.</w:t>
      </w:r>
    </w:p>
    <w:p>
      <w:pPr>
        <w:keepNext/>
        <w:spacing w:before="60" w:after="0" w:line="276" w:lineRule="auto"/>
        <w:jc w:val="both"/>
      </w:pPr>
      <w:r>
        <w:rPr>
          <w:rFonts w:ascii="Times New Roman" w:hAnsi="Times New Roman" w:eastAsia="Times New Roman"/>
          <w:b/>
          <w:i w:val="0"/>
          <w:sz w:val="26"/>
        </w:rPr>
        <w:t>4. Trục 4: Xây dựng Đảng và hệ thống chính trị trong sạch, vững mạnh; phòng, chống tham nhũng, lãng phí, tiêu cực</w:t>
      </w:r>
    </w:p>
    <w:p>
      <w:pPr>
        <w:keepNext w:val="0"/>
        <w:spacing w:before="0" w:after="0" w:line="276" w:lineRule="auto"/>
        <w:ind w:firstLine="397"/>
        <w:jc w:val="both"/>
      </w:pPr>
      <w:r>
        <w:rPr>
          <w:rFonts w:ascii="Times New Roman" w:hAnsi="Times New Roman" w:eastAsia="Times New Roman"/>
          <w:b w:val="0"/>
          <w:i w:val="0"/>
          <w:sz w:val="26"/>
        </w:rPr>
        <w:t>- Phòng QLĐT&amp;BĐCL: Báo cáo công tác PCTNTC định kỳ các tháng trong quý III.</w:t>
      </w:r>
    </w:p>
    <w:p>
      <w:pPr>
        <w:keepNext w:val="0"/>
        <w:spacing w:before="0" w:after="0" w:line="276" w:lineRule="auto"/>
        <w:ind w:firstLine="397"/>
        <w:jc w:val="both"/>
      </w:pPr>
      <w:r>
        <w:rPr>
          <w:rFonts w:ascii="Times New Roman" w:hAnsi="Times New Roman" w:eastAsia="Times New Roman"/>
          <w:b w:val="0"/>
          <w:i w:val="0"/>
          <w:sz w:val="26"/>
        </w:rPr>
        <w:t>- Phòng QLKHCN&amp;HTPT: Tham mưu Báo cáo tình hình thực hiện nhiệm vụ tháng 7 và nhiệm vụ công tác trọng tâm tháng 8 năm 2026; Toàn thể viên chức Phòng chấp hành chủ trương của Đảng, chính sách pháp luật của Nhà nước; tham gia/báo cáo sinh hoạt chuyên đề, sinh hoạt Đảng (nếu có); thực hiện đạo đức nghề….</w:t>
      </w:r>
    </w:p>
    <w:p>
      <w:pPr>
        <w:keepNext/>
        <w:spacing w:before="60" w:after="0" w:line="276" w:lineRule="auto"/>
        <w:jc w:val="both"/>
      </w:pPr>
      <w:r>
        <w:rPr>
          <w:rFonts w:ascii="Times New Roman" w:hAnsi="Times New Roman" w:eastAsia="Times New Roman"/>
          <w:b/>
          <w:i w:val="0"/>
          <w:sz w:val="26"/>
        </w:rPr>
        <w:t>5. Trục 5: Phát triển văn hóa, con người, bảo đảm an sinh xã hội, nâng cao đời sống Nhân dân</w:t>
      </w:r>
    </w:p>
    <w:p>
      <w:pPr>
        <w:keepNext w:val="0"/>
        <w:spacing w:before="0" w:after="0" w:line="276" w:lineRule="auto"/>
        <w:ind w:firstLine="397"/>
        <w:jc w:val="both"/>
      </w:pPr>
      <w:r>
        <w:rPr>
          <w:rFonts w:ascii="Times New Roman" w:hAnsi="Times New Roman" w:eastAsia="Times New Roman"/>
          <w:b w:val="0"/>
          <w:i w:val="0"/>
          <w:sz w:val="26"/>
        </w:rPr>
        <w:t>- Phòng QLĐT&amp;BĐCL: Phối hợp các xã phía Tây Quảng Ngãi chuẩn bị điều kiện tổ chức các lớp đào tạo lao động nông thôn.</w:t>
      </w:r>
    </w:p>
    <w:p>
      <w:pPr>
        <w:keepNext/>
        <w:spacing w:before="60" w:after="0" w:line="276" w:lineRule="auto"/>
        <w:jc w:val="both"/>
      </w:pPr>
      <w:r>
        <w:rPr>
          <w:rFonts w:ascii="Times New Roman" w:hAnsi="Times New Roman" w:eastAsia="Times New Roman"/>
          <w:b/>
          <w:i w:val="0"/>
          <w:sz w:val="26"/>
        </w:rPr>
        <w:t>6. Trục 6: Củng cố quốc phòng, an ninh, giữ vững ổn định chính trị - xã hội, nâng cao hiệu quả đối ngoại và hội nhập quốc tế</w:t>
      </w:r>
    </w:p>
    <w:p>
      <w:pPr>
        <w:keepNext w:val="0"/>
        <w:spacing w:before="0" w:after="0" w:line="276" w:lineRule="auto"/>
        <w:ind w:firstLine="397"/>
        <w:jc w:val="both"/>
      </w:pPr>
      <w:r>
        <w:rPr>
          <w:rFonts w:ascii="Times New Roman" w:hAnsi="Times New Roman" w:eastAsia="Times New Roman"/>
          <w:b w:val="0"/>
          <w:i w:val="0"/>
          <w:sz w:val="26"/>
        </w:rPr>
        <w:t>- Phòng QLĐT&amp;BĐCL: Thông báo hướng dẫn triển khai thực hiện công tác đào tạo nghề trình độ sơ cấp và đào tạo dưới 3 tháng.</w:t>
      </w:r>
    </w:p>
    <w:p>
      <w:pPr>
        <w:keepNext w:val="0"/>
        <w:spacing w:before="0" w:after="0" w:line="276" w:lineRule="auto"/>
        <w:ind w:firstLine="397"/>
        <w:jc w:val="both"/>
      </w:pPr>
      <w:r>
        <w:rPr>
          <w:rFonts w:ascii="Times New Roman" w:hAnsi="Times New Roman" w:eastAsia="Times New Roman"/>
          <w:b w:val="0"/>
          <w:i w:val="0"/>
          <w:sz w:val="26"/>
        </w:rPr>
        <w:t>- Phòng QLKHCN&amp;HTPT: Toàn thể viên chức Phòng thực hiện giữ vững an ninh trật tự; tham gia công tác phòng cháy, chữa cháy; chủ động đấu tranh với các thông tin sai trái, xuyên tạc; tham gia hoạt động kết…; Cung cấp thông tin tình hình hợp tác với 4 tỉnh Nam Lào, hoàn thành trước ngày 20/7/2026; Triển khai thực hiện nhiệm vụ về công tác đối ngoại giai đoạn 2026-2030; Phối hợp với phía Bạn (các Sở Giáo dục và Thể thao của các tỉnh Nam Lào năm 2026) để thống nhất các nội dung trong Dự thảo bản Ghi nhớ hợp tác; Phối hợp hoàn thiện Đề án xây dựng Trường Cao đẳng Kon Tum trở thành trường cao đẳng chất lượng cao giai đoạn 2026-2030, phối hợp các đơn vị liên quan trong quá trình triển khai phát….</w:t>
      </w:r>
    </w:p>
    <w:p>
      <w:pPr>
        <w:keepNext/>
        <w:spacing w:before="100" w:after="0" w:line="276" w:lineRule="auto"/>
        <w:jc w:val="both"/>
      </w:pPr>
      <w:r>
        <w:rPr>
          <w:rFonts w:ascii="Times New Roman" w:hAnsi="Times New Roman" w:eastAsia="Times New Roman"/>
          <w:b/>
          <w:i w:val="0"/>
          <w:sz w:val="26"/>
        </w:rPr>
        <w:t>III. ĐÁNH GIÁ CHUNG VÀ KIẾN NGHỊ</w:t>
      </w:r>
    </w:p>
    <w:p>
      <w:pPr>
        <w:keepNext w:val="0"/>
        <w:spacing w:before="0" w:after="0" w:line="276" w:lineRule="auto"/>
        <w:ind w:firstLine="567"/>
        <w:jc w:val="both"/>
      </w:pPr>
      <w:r>
        <w:rPr>
          <w:rFonts w:ascii="Times New Roman" w:hAnsi="Times New Roman" w:eastAsia="Times New Roman"/>
          <w:b w:val="0"/>
          <w:i w:val="0"/>
          <w:sz w:val="26"/>
        </w:rPr>
        <w:t>Trong phạm vi chạy thử, hệ thống đã tổng hợp 115 dòng nhiệm vụ kết quả tháng 7 và 51 nhiệm vụ dự kiến tháng 8 từ 02 đơn vị. Nội dung chi tiết, chỉ số KPI và trường dữ liệu theo TB736 được thể hiện trong phụ lục Excel kèm theo.</w:t>
      </w:r>
    </w:p>
    <w:p>
      <w:pPr>
        <w:keepNext w:val="0"/>
        <w:spacing w:before="0" w:after="0" w:line="276" w:lineRule="auto"/>
        <w:ind w:firstLine="567"/>
        <w:jc w:val="both"/>
      </w:pPr>
      <w:r>
        <w:rPr>
          <w:rFonts w:ascii="Times New Roman" w:hAnsi="Times New Roman" w:eastAsia="Times New Roman"/>
          <w:b w:val="0"/>
          <w:i w:val="0"/>
          <w:sz w:val="26"/>
        </w:rPr>
        <w:t>Do chưa có báo cáo của các đơn vị còn lại, số liệu này chỉ phục vụ kiểm thử quy trình tổng hợp, chưa phản ánh đầy đủ kết quả công tác cấp Trường và chưa sử dụng để phát hành.</w:t>
      </w:r>
    </w:p>
    <w:p>
      <w:pPr>
        <w:keepNext w:val="0"/>
        <w:spacing w:before="0" w:after="0" w:line="276" w:lineRule="auto"/>
        <w:ind w:firstLine="567"/>
        <w:jc w:val="both"/>
      </w:pPr>
      <w:r>
        <w:rPr>
          <w:rFonts w:ascii="Times New Roman" w:hAnsi="Times New Roman" w:eastAsia="Times New Roman"/>
          <w:b w:val="0"/>
          <w:i w:val="0"/>
          <w:sz w:val="26"/>
        </w:rPr>
        <w:t>Trên đây là Báo cáo chạy thử kết quả công tác tháng 7 và kế hoạch công tác tháng 8 năm 2026 của Trường Cao đẳng Kon Tum./.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53"/>
        <w:gridCol w:w="3402"/>
      </w:tblGrid>
      <w:tr>
        <w:tc>
          <w:tcPr>
            <w:tcW w:type="dxa" w:w="4702"/>
            <w:vAlign w:val="center"/>
          </w:tcPr>
          <w:p>
            <w:pPr>
              <w:spacing w:after="0"/>
              <w:jc w:val="left"/>
            </w:pPr>
            <w:r/>
            <w:r>
              <w:rPr>
                <w:rFonts w:ascii="Times New Roman" w:hAnsi="Times New Roman" w:eastAsia="Times New Roman"/>
                <w:b w:val="0"/>
                <w:sz w:val="22"/>
              </w:rPr>
              <w:t>Nơi nhận:</w:t>
              <w:br/>
              <w:t>- Như trên;</w:t>
              <w:br/>
              <w:t>- Sở Tài chính;</w:t>
              <w:br/>
              <w:t>- Sở Giáo dục và Đào tạo;</w:t>
              <w:br/>
              <w:t>- Lãnh đạo Trường;</w:t>
              <w:br/>
              <w:t>- Các đơn vị thuộc Trường;</w:t>
              <w:br/>
              <w:t>- Lưu: VT, TH.</w:t>
            </w:r>
          </w:p>
        </w:tc>
        <w:tc>
          <w:tcPr>
            <w:tcW w:type="dxa" w:w="4702"/>
            <w:vAlign w:val="center"/>
          </w:tcPr>
          <w:p>
            <w:pPr>
              <w:spacing w:after="0"/>
              <w:jc w:val="center"/>
            </w:pPr>
            <w:r/>
            <w:r>
              <w:rPr>
                <w:rFonts w:ascii="Times New Roman" w:hAnsi="Times New Roman" w:eastAsia="Times New Roman"/>
                <w:b/>
                <w:sz w:val="26"/>
              </w:rPr>
              <w:t>HIỆU TRƯỞNG</w:t>
              <w:br/>
              <w:br/>
              <w:br/>
              <w:br/>
              <w:br/>
              <w:t>(Dự thảo – chưa ký)</w:t>
            </w:r>
          </w:p>
        </w:tc>
      </w:tr>
    </w:tbl>
    <w:p>
      <w:r>
        <w:br w:type="page"/>
      </w:r>
    </w:p>
    <w:p>
      <w:pPr>
        <w:keepNext w:val="0"/>
        <w:spacing w:before="0" w:after="120" w:line="276" w:lineRule="auto"/>
        <w:jc w:val="center"/>
      </w:pPr>
      <w:r>
        <w:rPr>
          <w:rFonts w:ascii="Times New Roman" w:hAnsi="Times New Roman" w:eastAsia="Times New Roman"/>
          <w:b/>
          <w:i w:val="0"/>
          <w:sz w:val="28"/>
        </w:rPr>
        <w:t>THÔNG TIN KIỂM SOÁT BẢN CHẠY THỬ</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spacing w:after="0"/>
              <w:jc w:val="left"/>
            </w:pPr>
            <w:r/>
            <w:r>
              <w:rPr>
                <w:rFonts w:ascii="Times New Roman" w:hAnsi="Times New Roman" w:eastAsia="Times New Roman"/>
                <w:b/>
                <w:sz w:val="22"/>
              </w:rPr>
              <w:t>Căn cứ mẫu</w:t>
            </w:r>
          </w:p>
        </w:tc>
        <w:tc>
          <w:tcPr>
            <w:tcW w:type="dxa" w:w="4702"/>
            <w:vAlign w:val="center"/>
          </w:tcPr>
          <w:p>
            <w:pPr>
              <w:spacing w:after="0"/>
              <w:jc w:val="left"/>
            </w:pPr>
            <w:r/>
            <w:r>
              <w:rPr>
                <w:rFonts w:ascii="Times New Roman" w:hAnsi="Times New Roman" w:eastAsia="Times New Roman"/>
                <w:b w:val="0"/>
                <w:sz w:val="22"/>
              </w:rPr>
              <w:t>TB736 (Phụ lục Ib, IIb); tham chiếu Báo cáo 341/BC-CĐKT</w:t>
            </w:r>
          </w:p>
        </w:tc>
      </w:tr>
      <w:tr>
        <w:tc>
          <w:tcPr>
            <w:tcW w:type="dxa" w:w="4702"/>
            <w:vAlign w:val="center"/>
          </w:tcPr>
          <w:p>
            <w:pPr>
              <w:spacing w:after="0"/>
              <w:jc w:val="left"/>
            </w:pPr>
            <w:r/>
            <w:r>
              <w:rPr>
                <w:rFonts w:ascii="Times New Roman" w:hAnsi="Times New Roman" w:eastAsia="Times New Roman"/>
                <w:b/>
                <w:sz w:val="22"/>
              </w:rPr>
              <w:t>Phạm vi dữ liệu</w:t>
            </w:r>
          </w:p>
        </w:tc>
        <w:tc>
          <w:tcPr>
            <w:tcW w:type="dxa" w:w="4702"/>
            <w:vAlign w:val="center"/>
          </w:tcPr>
          <w:p>
            <w:pPr>
              <w:spacing w:after="0"/>
              <w:jc w:val="left"/>
            </w:pPr>
            <w:r/>
            <w:r>
              <w:rPr>
                <w:rFonts w:ascii="Times New Roman" w:hAnsi="Times New Roman" w:eastAsia="Times New Roman"/>
                <w:b w:val="0"/>
                <w:sz w:val="22"/>
              </w:rPr>
              <w:t>Phòng QLKHCN&amp;HTPT, Phòng QLĐT&amp;BĐCL</w:t>
            </w:r>
          </w:p>
        </w:tc>
      </w:tr>
      <w:tr>
        <w:tc>
          <w:tcPr>
            <w:tcW w:type="dxa" w:w="4702"/>
            <w:vAlign w:val="center"/>
          </w:tcPr>
          <w:p>
            <w:pPr>
              <w:spacing w:after="0"/>
              <w:jc w:val="left"/>
            </w:pPr>
            <w:r/>
            <w:r>
              <w:rPr>
                <w:rFonts w:ascii="Times New Roman" w:hAnsi="Times New Roman" w:eastAsia="Times New Roman"/>
                <w:b/>
                <w:sz w:val="22"/>
              </w:rPr>
              <w:t>Người rà soát</w:t>
            </w:r>
          </w:p>
        </w:tc>
        <w:tc>
          <w:tcPr>
            <w:tcW w:type="dxa" w:w="4702"/>
            <w:vAlign w:val="center"/>
          </w:tcPr>
          <w:p>
            <w:pPr>
              <w:spacing w:after="0"/>
              <w:jc w:val="left"/>
            </w:pPr>
            <w:r/>
            <w:r>
              <w:rPr>
                <w:rFonts w:ascii="Times New Roman" w:hAnsi="Times New Roman" w:eastAsia="Times New Roman"/>
                <w:b w:val="0"/>
                <w:sz w:val="22"/>
              </w:rPr>
              <w:t>Chưa xác định</w:t>
            </w:r>
          </w:p>
        </w:tc>
      </w:tr>
      <w:tr>
        <w:tc>
          <w:tcPr>
            <w:tcW w:type="dxa" w:w="4702"/>
            <w:vAlign w:val="center"/>
          </w:tcPr>
          <w:p>
            <w:pPr>
              <w:spacing w:after="0"/>
              <w:jc w:val="left"/>
            </w:pPr>
            <w:r/>
            <w:r>
              <w:rPr>
                <w:rFonts w:ascii="Times New Roman" w:hAnsi="Times New Roman" w:eastAsia="Times New Roman"/>
                <w:b/>
                <w:sz w:val="22"/>
              </w:rPr>
              <w:t>Trạng thái phê duyệt</w:t>
            </w:r>
          </w:p>
        </w:tc>
        <w:tc>
          <w:tcPr>
            <w:tcW w:type="dxa" w:w="4702"/>
            <w:vAlign w:val="center"/>
          </w:tcPr>
          <w:p>
            <w:pPr>
              <w:spacing w:after="0"/>
              <w:jc w:val="left"/>
            </w:pPr>
            <w:r/>
            <w:r>
              <w:rPr>
                <w:rFonts w:ascii="Times New Roman" w:hAnsi="Times New Roman" w:eastAsia="Times New Roman"/>
                <w:b w:val="0"/>
                <w:sz w:val="22"/>
              </w:rPr>
              <w:t>Bản chạy thử – chưa phê duyệt</w:t>
            </w:r>
          </w:p>
        </w:tc>
      </w:tr>
      <w:tr>
        <w:tc>
          <w:tcPr>
            <w:tcW w:type="dxa" w:w="4702"/>
            <w:vAlign w:val="center"/>
          </w:tcPr>
          <w:p>
            <w:pPr>
              <w:spacing w:after="0"/>
              <w:jc w:val="left"/>
            </w:pPr>
            <w:r/>
            <w:r>
              <w:rPr>
                <w:rFonts w:ascii="Times New Roman" w:hAnsi="Times New Roman" w:eastAsia="Times New Roman"/>
                <w:b/>
                <w:sz w:val="22"/>
              </w:rPr>
              <w:t>Nguồn dữ liệu</w:t>
            </w:r>
          </w:p>
        </w:tc>
        <w:tc>
          <w:tcPr>
            <w:tcW w:type="dxa" w:w="4702"/>
            <w:vAlign w:val="center"/>
          </w:tcPr>
          <w:p>
            <w:pPr>
              <w:spacing w:after="0"/>
              <w:jc w:val="left"/>
            </w:pPr>
            <w:r/>
            <w:r>
              <w:rPr>
                <w:rFonts w:ascii="Times New Roman" w:hAnsi="Times New Roman" w:eastAsia="Times New Roman"/>
                <w:b w:val="0"/>
                <w:sz w:val="22"/>
              </w:rPr>
              <w:t>P. QLKHCNHTPT - Báo cáo kết quả tháng 7 năm 2026.xlsx (Drive ID: 1bJ0VQLlzx-iFUsC5H8xu6yKsPoNJEdnz)</w:t>
            </w:r>
          </w:p>
        </w:tc>
      </w:tr>
      <w:tr>
        <w:tc>
          <w:tcPr>
            <w:tcW w:type="dxa" w:w="4702"/>
            <w:vAlign w:val="center"/>
          </w:tcPr>
          <w:p>
            <w:pPr>
              <w:spacing w:after="0"/>
              <w:jc w:val="left"/>
            </w:pPr>
            <w:r/>
            <w:r>
              <w:rPr>
                <w:rFonts w:ascii="Times New Roman" w:hAnsi="Times New Roman" w:eastAsia="Times New Roman"/>
                <w:b/>
                <w:sz w:val="22"/>
              </w:rPr>
              <w:t>Nguồn dữ liệu</w:t>
            </w:r>
          </w:p>
        </w:tc>
        <w:tc>
          <w:tcPr>
            <w:tcW w:type="dxa" w:w="4702"/>
            <w:vAlign w:val="center"/>
          </w:tcPr>
          <w:p>
            <w:pPr>
              <w:spacing w:after="0"/>
              <w:jc w:val="left"/>
            </w:pPr>
            <w:r/>
            <w:r>
              <w:rPr>
                <w:rFonts w:ascii="Times New Roman" w:hAnsi="Times New Roman" w:eastAsia="Times New Roman"/>
                <w:b w:val="0"/>
                <w:sz w:val="22"/>
              </w:rPr>
              <w:t>PQLKHCNHTPT - Báo cáo tháng 7, Kế hoạch tháng 8.docx (Drive ID: 1v9-aptayctEPFlIXJ5WWY7Oskmzwj_xa)</w:t>
            </w:r>
          </w:p>
        </w:tc>
      </w:tr>
      <w:tr>
        <w:tc>
          <w:tcPr>
            <w:tcW w:type="dxa" w:w="4702"/>
            <w:vAlign w:val="center"/>
          </w:tcPr>
          <w:p>
            <w:pPr>
              <w:spacing w:after="0"/>
              <w:jc w:val="left"/>
            </w:pPr>
            <w:r/>
            <w:r>
              <w:rPr>
                <w:rFonts w:ascii="Times New Roman" w:hAnsi="Times New Roman" w:eastAsia="Times New Roman"/>
                <w:b/>
                <w:sz w:val="22"/>
              </w:rPr>
              <w:t>Nguồn dữ liệu</w:t>
            </w:r>
          </w:p>
        </w:tc>
        <w:tc>
          <w:tcPr>
            <w:tcW w:type="dxa" w:w="4702"/>
            <w:vAlign w:val="center"/>
          </w:tcPr>
          <w:p>
            <w:pPr>
              <w:spacing w:after="0"/>
              <w:jc w:val="left"/>
            </w:pPr>
            <w:r/>
            <w:r>
              <w:rPr>
                <w:rFonts w:ascii="Times New Roman" w:hAnsi="Times New Roman" w:eastAsia="Times New Roman"/>
                <w:b w:val="0"/>
                <w:sz w:val="22"/>
              </w:rPr>
              <w:t>7. Báo cáo tháng 7 năm 2026.xlsx (Drive ID: 1z7xOCL321dBgIsvxuUS5oMHVZ6EDRYJZ)</w:t>
            </w:r>
          </w:p>
        </w:tc>
      </w:tr>
      <w:tr>
        <w:tc>
          <w:tcPr>
            <w:tcW w:type="dxa" w:w="4702"/>
            <w:vAlign w:val="center"/>
          </w:tcPr>
          <w:p>
            <w:pPr>
              <w:spacing w:after="0"/>
              <w:jc w:val="left"/>
            </w:pPr>
            <w:r/>
            <w:r>
              <w:rPr>
                <w:rFonts w:ascii="Times New Roman" w:hAnsi="Times New Roman" w:eastAsia="Times New Roman"/>
                <w:b/>
                <w:sz w:val="22"/>
              </w:rPr>
              <w:t>Nguồn dữ liệu</w:t>
            </w:r>
          </w:p>
        </w:tc>
        <w:tc>
          <w:tcPr>
            <w:tcW w:type="dxa" w:w="4702"/>
            <w:vAlign w:val="center"/>
          </w:tcPr>
          <w:p>
            <w:pPr>
              <w:spacing w:after="0"/>
              <w:jc w:val="left"/>
            </w:pPr>
            <w:r/>
            <w:r>
              <w:rPr>
                <w:rFonts w:ascii="Times New Roman" w:hAnsi="Times New Roman" w:eastAsia="Times New Roman"/>
                <w:b w:val="0"/>
                <w:sz w:val="22"/>
              </w:rPr>
              <w:t>7. Báo cáo tháng 7 và công tác trọng tâm tháng 8 năm 2026.docx (Drive ID: 1SsTMkb6R60STRl_QkyPZkKc7Nu1KksWG)</w:t>
            </w:r>
          </w:p>
        </w:tc>
      </w:tr>
    </w:tbl>
    <w:sectPr w:rsidR="00FC693F" w:rsidRPr="0006063C" w:rsidSect="00034616">
      <w:headerReference w:type="default" r:id="rId9"/>
      <w:footerReference w:type="default" r:id="rId10"/>
      <w:pgSz w:w="12240" w:h="15840"/>
      <w:pgMar w:top="1134" w:right="1134"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C00000"/>
        <w:sz w:val="20"/>
      </w:rPr>
      <w:t>BẢN CHẠY THỬ – TỔNG HỢP DỮ LIỆU 02 ĐƠN VỊ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