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KTC-DIS-Tong-Hop-VB — TEMPLATE ROUTING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Cập nhật 31/08/2026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Nguồn template Office chính thức: KTC-Database/03-Templates(1), tuân thủ 00-Template-Registry-KTC-DIS.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Khi tổng hợp/soạn văn bản mới, hệ phải chọn template theo đúng loại sản phẩm: Quyết định, Thông báo, Kế hoạch, Báo cáo, Tờ trình, Công văn, Biên bản, Giấy mời hoặc Excel kế hoạch tháng.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Không sửa trực tiếp master .dotx/.xltx; luôn tạo bản làm việc mới.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Không kế thừa số, ngày, căn cứ, người ký, nơi nhận hoặc dữ liệu tình huống từ mẫu; lấy từ KTC-Database và đầu vào hiện hành.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Nếu có xung đột với mẫu cũ của hệ, ưu tiên 03-Templates(1), trừ mẫu chuyên ngành đã được phê duyệt riêng.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NGOẠI LỆ: mọi KTC-Ra-soat-* không dùng routing này cho báo cáo rà soát; báo cáo rà soát tiếp tục dùng Form 8 phần riêng.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