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KTC-RA-SOAT-897-V2-CAI-TIEN</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Kế hoạch tổ chức tham quan, trải nghiệm tại doanh nghiệp đối với tân HSSV nhập học năm 2026 (dự thảo, bản hoàn thiện, rà soát lần 4)</w:t>
      </w:r>
    </w:p>
    <w:p>
      <w:pPr>
        <w:jc w:val="center"/>
      </w:pPr>
      <w:r>
        <w:rPr>
          <w:rFonts w:ascii="Times New Roman" w:hAnsi="Times New Roman"/>
          <w:b w:val="0"/>
          <w:i w:val="0"/>
          <w:sz w:val="26"/>
        </w:rPr>
        <w:t xml:space="preserve">Ngày rà soát: </w:t>
      </w:r>
      <w:r>
        <w:rPr>
          <w:rFonts w:ascii="Times New Roman" w:hAnsi="Times New Roman"/>
          <w:b/>
          <w:i w:val="0"/>
          <w:sz w:val="26"/>
        </w:rPr>
        <w:t>08/10/2026</w:t>
      </w:r>
      <w:r>
        <w:rPr>
          <w:rFonts w:ascii="Times New Roman" w:hAnsi="Times New Roman"/>
          <w:b w:val="0"/>
          <w:i w:val="0"/>
          <w:sz w:val="26"/>
        </w:rPr>
        <w:t xml:space="preserve">  |  Đơn vị soạn thảo: </w:t>
      </w:r>
      <w:r>
        <w:rPr>
          <w:rFonts w:ascii="Times New Roman" w:hAnsi="Times New Roman"/>
          <w:b/>
          <w:i w:val="0"/>
          <w:sz w:val="26"/>
        </w:rPr>
        <w:t>Phòng Quản lý khoa học công nghệ và Hợp tác phát triển</w:t>
      </w:r>
      <w:r>
        <w:rPr>
          <w:rFonts w:ascii="Times New Roman" w:hAnsi="Times New Roman"/>
          <w:b w:val="0"/>
          <w:i w:val="0"/>
          <w:sz w:val="26"/>
        </w:rPr>
        <w:t xml:space="preserve">  |  Thẩm quyền: </w:t>
      </w:r>
      <w:r>
        <w:rPr>
          <w:rFonts w:ascii="Times New Roman" w:hAnsi="Times New Roman"/>
          <w:b/>
          <w:i w:val="0"/>
          <w:sz w:val="26"/>
        </w:rPr>
        <w:t>Phó Hiệu trưởng ký thay (KT. Hiệu trưởng)</w:t>
      </w:r>
    </w:p>
    <w:p>
      <w:pPr>
        <w:spacing w:before="200" w:after="80"/>
      </w:pPr>
      <w:r>
        <w:rPr>
          <w:rFonts w:ascii="Times New Roman" w:hAnsi="Times New Roman"/>
          <w:b/>
          <w:i w:val="0"/>
          <w:color w:val="7030A0"/>
          <w:sz w:val="28"/>
        </w:rPr>
        <w:t>PHẦN I. THÔNG TIN CHUNG</w:t>
      </w:r>
    </w:p>
    <w:tbl>
      <w:tblPr>
        <w:tblStyle w:val="TableGrid"/>
        <w:tblW w:type="auto" w:w="0"/>
        <w:jc w:val="center"/>
        <w:tblLayout w:type="fixed"/>
        <w:tblLook w:firstColumn="1" w:firstRow="1" w:lastColumn="0" w:lastRow="0" w:noHBand="0" w:noVBand="1" w:val="04A0"/>
      </w:tblPr>
      <w:tblGrid>
        <w:gridCol w:w="2778"/>
        <w:gridCol w:w="11680"/>
      </w:tblGrid>
      <w:tr>
        <w:trPr>
          <w:cantSplit w:val="0"/>
          <w:tblHeader w:val="1"/>
        </w:trPr>
        <w:tc>
          <w:tcPr>
            <w:tcW w:type="dxa" w:w="277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MỤC</w:t>
            </w:r>
          </w:p>
        </w:tc>
        <w:tc>
          <w:tcPr>
            <w:tcW w:type="dxa" w:w="1167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Hệ quy chiếu</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Hành chính nhà nước: NĐ 30/2020/NĐ-CP (Phụ lục I), TB 597/TB-CĐKT; Checklist 08 (quy ước riêng của Trường). Căn cứ chọn: văn bản của Trường, có Quốc hiệu - Tiêu ngữ, ký KT. Hiệu trưởng.</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Loại văn bản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(KH-CĐKT), dự thảo trước trình ký, có 01 Phụ lục (Chương trình tham quan).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Cơ quan/đơn vị soạn thảo, thẩm quyền ký</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Quản lý khoa học công nghệ và Hợp tác phát triển (đầu mối); Phó Hiệu trưởng Huỳnh Văn Chung ký KT. Hiệu trưởng. Chưa tìm thấy trong kho quyết định phân công phụ trách của Phó Hiệu trưởng nên chưa xác minh được thẩm quyền ký thay.</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Hình thức phát hành</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Mặc định văn bản điện tử ký số (chưa có xác nhận khác). Không nêu lỗi về dòng 'Ban hành kèm theo' và số/ngày của dự thảo.</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Xác nhận của người dùng áp dụng cho lần rà soát này</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(1) Việc điều xe ô tô của Trường do phòng Tổng hợp - Hành chính và Quản trị tự đề xuất Hiệu trưởng, không nêu trong văn bản: rút lại nhận xét về QĐ 1334 Điều 14 của lần 2. (2) Đã xóa mục V.7 và V.8: rút lại nhận xét tương ứng. (3) Trích yếu KH 930 không có chữ 'về': rút lại nhận xét về căn cứ KH 930 (chưa đối chiếu được bản gốc nên ghi nhận theo xác nhận của người dùng). Phần V chỉ nêu nhiệm vụ các phòng, ban, khoa.</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So với bản rà soát lần 3</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kéo dài đường kẻ dưới trích yếu từ 1,93 cm lên 5,0 cm (căn giữa, khoảng 1/3 độ dài dòng trích yếu); các nội dung khác giữ nguyên theo yêu cầu chỉ xử lý Mức 2. Trước đó (so với lần 2) đã xử lý: câu thành phần HSSV; dấu câu mục Kinh phí; khoảng trắng 'Thời gian:'; tên phòng ở V.4 (nay là 'phòng Quản lý Đào tạo và Bảo đảm chất lượng, phòng Tổ chức cán bộ và Công tác HSSV'); tên gọi Kế hoạch ở đoạn dẫn nhập và đoạn kết; xóa mục V.7, V.8. Người dùng đã bỏ phần dẫn số QĐ 1334 ở mục Kinh phí (vẫn có trong căn cứ).</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Tệp hoàn thiện</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Ke_hoach_tham_quan_trai_nghiem_tan_HSSV_2026_HT_hoan_thien.docx: chỉ thay đổi độ dài và vị trí đường kẻ dưới trích yếu (hình vẽ, không thể ghi bằng Track Changes); văn bản giữ nguyên.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Tài liệu đã đọc trong kho</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1334/QĐ-CĐKT ngày 29/5/2026; QĐ 687/QĐ-CĐKT ngày 07/10/2025 (dùng để đối chiếu tên 'Phòng Tổ chức cán bộ và Công tác học sinh – sinh viên'); KH đưa học sinh K8T May thời trang (có dẫn KH 930 ngày 23/9/2026 và tên 'Phòng Quản lý đào tạo và Bảo đảm chất lượng'); KH 310/KH-CĐKT ngày 19/9/2025; QĐ 277/QĐ-CĐKT; TB 897 và TB 597; Phụ lục I NĐ 30/2020 (đọc có chọn lọc); Chương trình công tác năm 2026; Kế hoạch tổ chức Lễ tốt nghiệp 2026 (mẫu tốt, 04-05).</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Tài liệu không tìm thấy trong kho</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Bản gốc KH 930/KH-CĐKT; quyết định phân công phụ trách của Phó Hiệu trưởng; văn bản chính thức về cơ cấu tên phòng hiện hành (tên 'Phòng Quản lý đào tạo và Bảo đảm chất lượng' chỉ thấy trong KH K8T). 03-Templates và 04-Good-Documents mỗi thư mục chỉ có một tệp README.</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Xác minh hiệu lực bằng nguồn bên ngoài</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 Công cụ tìm kiếm web của phiên đã thử ở lần rà soát trước: bị từ chối (HTTP 403, chưa được bật cho tổ chức). Dự thảo không viện dẫn văn bản pháp luật bên ngoài nên không ảnh hưởng kết luận.</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Đọc thuộc tính tệp</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Đo bằng python-docx/XML: A4; lề trên/dưới 20 mm, trái 30 mm, phải 20 mm; Times New Roman; thụt đầu dòng 1,27 cm; trang đầu khác biệt; Phụ lục là section riêng; đường kẻ tên đơn vị 2,44 cm, tiêu ngữ 6,0 cm, trích yếu 5,0 cm (sau khi chỉnh; bản lần 3 là 1,93 cm).</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Thời điểm rà soát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08/10/2026</w:t>
            </w:r>
          </w:p>
        </w:tc>
      </w:tr>
    </w:tbl>
    <w:p>
      <w:pPr>
        <w:spacing w:after="40"/>
      </w:pPr>
    </w:p>
    <w:p>
      <w:pPr>
        <w:spacing w:before="120" w:after="60"/>
      </w:pPr>
      <w:r>
        <w:rPr>
          <w:rFonts w:ascii="Times New Roman" w:hAnsi="Times New Roman"/>
          <w:b/>
          <w:i w:val="0"/>
          <w:color w:val="2E74B5"/>
          <w:sz w:val="28"/>
        </w:rPr>
        <w:t>Bảng xác minh văn bản được viện dẫn</w:t>
      </w:r>
    </w:p>
    <w:tbl>
      <w:tblPr>
        <w:tblStyle w:val="TableGrid"/>
        <w:tblW w:type="auto" w:w="0"/>
        <w:jc w:val="center"/>
        <w:tblLayout w:type="fixed"/>
        <w:tblLook w:firstColumn="1" w:firstRow="1" w:lastColumn="0" w:lastRow="0" w:noHBand="0" w:noVBand="1" w:val="04A0"/>
      </w:tblPr>
      <w:tblGrid>
        <w:gridCol w:w="567"/>
        <w:gridCol w:w="4536"/>
        <w:gridCol w:w="2948"/>
        <w:gridCol w:w="2268"/>
        <w:gridCol w:w="3969"/>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Văn bản viện dẫn</w:t>
            </w:r>
          </w:p>
        </w:tc>
        <w:tc>
          <w:tcPr>
            <w:tcW w:type="dxa" w:w="294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Kết quả tra kho</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Trạng thái</w:t>
            </w:r>
          </w:p>
        </w:tc>
        <w:tc>
          <w:tcPr>
            <w:tcW w:type="dxa" w:w="39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Ghi chú</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số 930/KH-CĐKT ngày 23/9/2026 liên kết đào tạo với doanh nghiệp năm học 2026 - 2027</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Không tìm thấy bản gốc; số, ngày khớp với căn cứ trong KH K8T đã đọc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Chưa xác minh bản gốc</w:t>
            </w:r>
          </w:p>
        </w:tc>
        <w:tc>
          <w:tcPr>
            <w:tcW w:type="dxa" w:w="39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Cách ghi trích yếu theo xác nhận của người dùng.</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Kế hoạch số 310/KH-CĐKT ngày 19/9/2025 về hợp tác với doanh nghiệp giai đoạn 2025 - 2030</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đọc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hiệu lực theo bản trong kho</w:t>
            </w:r>
          </w:p>
        </w:tc>
        <w:tc>
          <w:tcPr>
            <w:tcW w:type="dxa" w:w="39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số, ngày.</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453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Quyết định số 1334/QĐ-CĐKT ngày 29/5/2026 ban hành Quy chế chi tiêu nội bộ năm 2026</w:t>
            </w:r>
          </w:p>
        </w:tc>
        <w:tc>
          <w:tcPr>
            <w:tcW w:type="dxa" w:w="294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Đã đọc</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hiệu lực theo bản trong kho</w:t>
            </w:r>
          </w:p>
        </w:tc>
        <w:tc>
          <w:tcPr>
            <w:tcW w:type="dxa" w:w="39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Đúng số, ngày.</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auto" w:w="0"/>
        <w:jc w:val="center"/>
        <w:tblLayout w:type="fixed"/>
        <w:tblLook w:firstColumn="1" w:firstRow="1" w:lastColumn="0" w:lastRow="0" w:noHBand="0" w:noVBand="1" w:val="04A0"/>
      </w:tblPr>
      <w:tblGrid>
        <w:gridCol w:w="567"/>
        <w:gridCol w:w="2494"/>
        <w:gridCol w:w="5499"/>
        <w:gridCol w:w="3005"/>
        <w:gridCol w:w="1644"/>
        <w:gridCol w:w="1077"/>
      </w:tblGrid>
      <w:tr>
        <w:trPr>
          <w:cantSplit w:val="0"/>
          <w:tblHeader w:val="1"/>
        </w:trPr>
        <w:tc>
          <w:tcPr>
            <w:tcW w:type="dxa" w:w="56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TT</w:t>
            </w:r>
          </w:p>
        </w:tc>
        <w:tc>
          <w:tcPr>
            <w:tcW w:type="dxa" w:w="249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w:t>
            </w:r>
          </w:p>
        </w:tc>
        <w:tc>
          <w:tcPr>
            <w:tcW w:type="dxa" w:w="549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NHẬN XÉT</w:t>
            </w:r>
          </w:p>
        </w:tc>
        <w:tc>
          <w:tcPr>
            <w:tcW w:type="dxa" w:w="300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KIẾN NGHỊ</w:t>
            </w:r>
          </w:p>
        </w:tc>
        <w:tc>
          <w:tcPr>
            <w:tcW w:type="dxa" w:w="1644"/>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CĂN CỨ</w:t>
            </w:r>
          </w:p>
        </w:tc>
        <w:tc>
          <w:tcPr>
            <w:tcW w:type="dxa" w:w="1077"/>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1</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Địa điểm (II.2) - dấu ngoặc đơn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Câu '(Danh sách doanh nghiệp cụ thể ... với Trường).' đặt trong ngoặc đơn sau dấu chấm của câu trước: '... của nhà trường. (Danh sách ...)'.</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Bỏ ngoặc đơn và nối vào câu trước bằng dấu chấm phẩy hoặc để thành câu riêng không ngoặc.</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19</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2</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Dấu gạch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dùng lẫn '-' và '–': Phụ lục 'Phần I - Tổ chức', 'Phần II – Hoạt động'; 'Công nghệ - Phó Trưởng đoàn' so với 'Nông Lâm – Phó Trưởng đoàn'.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một loại dấu gạch trong toàn văn bản.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3</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Phần V, mục 1 - lặp từ</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'bảo đảm' lặp liên tiếp: '... bảo đảm phương tiện đưa đón ... theo chương trình và Kế hoạch' và '... bảo đảm chương trình và Kế hoạch đề ra'; hai gạch đầu dòng gần trùng ý.</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Gộp hoặc đổi từ cho gọn.</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19</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4</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Khoảng trắng cuối dòng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Còn khoảng trắng thừa cuối: '2. Yêu cầu ', '... kỹ năng mềm; ', '... thắc mắc của HSSV; ', '... đã ban hành; ', cuối tiêu đề Phụ lục và hai ô 'Đại diện ... tham quan '.</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Xóa khoảng trắng thừa.</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Checklist 01</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5</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Yêu cầu (I.2) - tiêu chí chọn ngành, nghề</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Tiêu chí đã nêu ở II.1 nhưng mục Yêu cầu chưa có câu giải thích lý do chọn (phương án C đã trao đổi).</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Cân nhắc thêm: 'Lựa chọn các ngành, nghề có tính thực hành, vận hành trực quan để HSSV nắm bắt được môi trường và công việc thực tế ngay trong thời gian tham quan, trải nghiệm;'.</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15</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6</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Phần V, mục 4 - tên phòng</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'phòng Quản lý Đào tạo và Bảo đảm chất lượng' khớp với KH K8T nhưng QĐ 687 (10/2025) còn dùng 'Phòng Khảo thí và Quản lý chất lượng'; chưa có văn bản cơ cấu để xác minh. 'phòng Tổ chức cán bộ và Công tác HSSV' khớp QĐ 687 (HSSV là viết tắt đã nêu). Cách viết hoa chưa đồng nhất giữa hai tên.</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Xác nhận tên chính thức và viết hoa thống nhất.</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QĐ 687; Checklist 08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7</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Tên gọi Kế hoạch</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Trích yếu 'tại doanh nghiệp' còn đoạn dẫn nhập và đoạn kết 'tại các doanh nghiệp'.</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Thống nhất 'tại doanh nghiệp' hoặc 'tại các doanh nghiệp' ở cả ba vị trí.</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18</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r>
        <w:trPr>
          <w:cantSplit w:val="0"/>
        </w:trPr>
        <w:tc>
          <w:tcPr>
            <w:tcW w:type="dxa" w:w="56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8</w:t>
            </w:r>
          </w:p>
        </w:tc>
        <w:tc>
          <w:tcPr>
            <w:tcW w:type="dxa" w:w="249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Nhân sự đoàn</w:t>
            </w:r>
          </w:p>
        </w:tc>
        <w:tc>
          <w:tcPr>
            <w:tcW w:type="dxa" w:w="549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Một số vị trí chưa gắn người cụ thể ('Đại diện Lãnh đạo khoa', 'Nhà giáo khoa ...').</w:t>
            </w:r>
          </w:p>
        </w:tc>
        <w:tc>
          <w:tcPr>
            <w:tcW w:type="dxa" w:w="3005"/>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Cân nhắc có quyết định thành lập đoàn hoặc để phòng đầu mối đề xuất sau.</w:t>
            </w:r>
          </w:p>
        </w:tc>
        <w:tc>
          <w:tcPr>
            <w:tcW w:type="dxa" w:w="1644"/>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Skill 17</w:t>
            </w:r>
          </w:p>
        </w:tc>
        <w:tc>
          <w:tcPr>
            <w:tcW w:type="dxa" w:w="1077"/>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jc w:val="both"/>
      </w:pPr>
      <w:r>
        <w:rPr>
          <w:rFonts w:ascii="Times New Roman" w:hAnsi="Times New Roman"/>
          <w:b w:val="0"/>
          <w:i w:val="0"/>
          <w:sz w:val="28"/>
        </w:rPr>
        <w:t>- Khổ giấy A4, lề trên/dưới 20 mm, trái 30 mm, phải 20 mm, Times New Roman, thụt đầu dòng 1,27 cm: đạt.</w:t>
      </w:r>
    </w:p>
    <w:p>
      <w:pPr>
        <w:spacing w:after="60" w:line="276" w:lineRule="auto"/>
        <w:jc w:val="both"/>
      </w:pPr>
      <w:r>
        <w:rPr>
          <w:rFonts w:ascii="Times New Roman" w:hAnsi="Times New Roman"/>
          <w:b w:val="0"/>
          <w:i w:val="0"/>
          <w:sz w:val="28"/>
        </w:rPr>
        <w:t>- Quốc hiệu - Tiêu ngữ, tên cơ quan, trích yếu, chữ ký KT. Hiệu trưởng: đạt; đường kẻ dưới trích yếu đã chỉnh 5,0 cm, cân đối; dự thảo chưa có số/ngày là bình thường.</w:t>
      </w:r>
    </w:p>
    <w:p>
      <w:pPr>
        <w:spacing w:after="60" w:line="276" w:lineRule="auto"/>
        <w:jc w:val="both"/>
      </w:pPr>
      <w:r>
        <w:rPr>
          <w:rFonts w:ascii="Times New Roman" w:hAnsi="Times New Roman"/>
          <w:b w:val="0"/>
          <w:i w:val="0"/>
          <w:sz w:val="28"/>
        </w:rPr>
        <w:t>- Căn cứ: 3 căn cứ đúng số, ngày (KH 930, KH 310, QĐ 1334); cách ghi trích yếu KH 930 theo xác nhận của người dùng.</w:t>
      </w:r>
    </w:p>
    <w:p>
      <w:pPr>
        <w:spacing w:after="60" w:line="276" w:lineRule="auto"/>
        <w:jc w:val="both"/>
      </w:pPr>
      <w:r>
        <w:rPr>
          <w:rFonts w:ascii="Times New Roman" w:hAnsi="Times New Roman"/>
          <w:b w:val="0"/>
          <w:i w:val="0"/>
          <w:sz w:val="28"/>
        </w:rPr>
        <w:t>- Thành phần, địa điểm, thời gian (đến 31/01/2027) rõ; câu về tân HSSV đã gọn và nêu tiêu chí chọn ngành, nghề.</w:t>
      </w:r>
    </w:p>
    <w:p>
      <w:pPr>
        <w:spacing w:after="60" w:line="276" w:lineRule="auto"/>
        <w:jc w:val="both"/>
      </w:pPr>
      <w:r>
        <w:rPr>
          <w:rFonts w:ascii="Times New Roman" w:hAnsi="Times New Roman"/>
          <w:b w:val="0"/>
          <w:i w:val="0"/>
          <w:sz w:val="28"/>
        </w:rPr>
        <w:t>- Mục Kinh phí: dấu câu đã thống nhất; Phần V chỉ nêu nhiệm vụ các phòng, ban, khoa đúng chỉ đạo; V.4 ghi cụ thể hai khoa.</w:t>
      </w:r>
    </w:p>
    <w:p>
      <w:pPr>
        <w:spacing w:after="60" w:line="276" w:lineRule="auto"/>
        <w:jc w:val="both"/>
      </w:pPr>
      <w:r>
        <w:rPr>
          <w:rFonts w:ascii="Times New Roman" w:hAnsi="Times New Roman"/>
          <w:b w:val="0"/>
          <w:i w:val="0"/>
          <w:sz w:val="28"/>
        </w:rPr>
        <w:t>- Phương tiện (IV.1) và việc điều xe: theo xác nhận của người dùng, do phòng TH-HC&amp;QT đề xuất Hiệu trưởng, không cần nêu trong văn bản.</w:t>
      </w:r>
    </w:p>
    <w:p>
      <w:pPr>
        <w:spacing w:after="60" w:line="276" w:lineRule="auto"/>
        <w:jc w:val="both"/>
      </w:pPr>
      <w:r>
        <w:rPr>
          <w:rFonts w:ascii="Times New Roman" w:hAnsi="Times New Roman"/>
          <w:b w:val="0"/>
          <w:i w:val="0"/>
          <w:sz w:val="28"/>
        </w:rPr>
        <w:t>- Phụ lục có thời lượng từng hoạt động; số trang Phụ lục đánh riêng, bắt đầu lại từ 1: đúng quy định. Nơi nhận có 'Công đoàn cơ sở Trường', 'BCH Đoàn Trường': đúng quy ước của Trường.</w:t>
      </w:r>
    </w:p>
    <w:p>
      <w:pPr>
        <w:spacing w:before="200" w:after="80"/>
      </w:pPr>
      <w:r>
        <w:rPr>
          <w:rFonts w:ascii="Times New Roman" w:hAnsi="Times New Roman"/>
          <w:b/>
          <w:i w:val="0"/>
          <w:color w:val="7030A0"/>
          <w:sz w:val="28"/>
        </w:rPr>
        <w:t>PHẦN IV. BẢNG TỔNG HỢP</w:t>
      </w:r>
    </w:p>
    <w:p>
      <w:pPr>
        <w:spacing w:before="120" w:after="60"/>
      </w:pPr>
      <w:r>
        <w:rPr>
          <w:rFonts w:ascii="Times New Roman" w:hAnsi="Times New Roman"/>
          <w:b/>
          <w:i w:val="0"/>
          <w:color w:val="2E74B5"/>
          <w:sz w:val="28"/>
        </w:rPr>
        <w:t>Theo mức độ</w:t>
      </w:r>
    </w:p>
    <w:tbl>
      <w:tblPr>
        <w:tblStyle w:val="TableGrid"/>
        <w:tblW w:type="auto" w:w="0"/>
        <w:jc w:val="center"/>
        <w:tblLayout w:type="fixed"/>
        <w:tblLook w:firstColumn="1" w:firstRow="1" w:lastColumn="0" w:lastRow="0" w:noHBand="0" w:noVBand="1" w:val="04A0"/>
      </w:tblPr>
      <w:tblGrid>
        <w:gridCol w:w="2268"/>
        <w:gridCol w:w="2268"/>
        <w:gridCol w:w="5670"/>
      </w:tblGrid>
      <w:tr>
        <w:trPr>
          <w:cantSplit w:val="0"/>
          <w:tblHeader w:val="1"/>
        </w:trPr>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Mức</w:t>
            </w:r>
          </w:p>
        </w:tc>
        <w:tc>
          <w:tcPr>
            <w:tcW w:type="dxa" w:w="226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Số lượng</w:t>
            </w:r>
          </w:p>
        </w:tc>
        <w:tc>
          <w:tcPr>
            <w:tcW w:type="dxa" w:w="5669"/>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Ý nghĩa</w:t>
            </w:r>
          </w:p>
        </w:tc>
      </w:tr>
      <w:tr>
        <w:trPr>
          <w:cantSplit w:val="0"/>
        </w:trPr>
        <w:tc>
          <w:tcPr>
            <w:tcW w:type="dxa" w:w="226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1</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Bắt buộc sửa</w:t>
            </w:r>
          </w:p>
        </w:tc>
      </w:tr>
      <w:tr>
        <w:trPr>
          <w:cantSplit w:val="0"/>
        </w:trPr>
        <w:tc>
          <w:tcPr>
            <w:tcW w:type="dxa" w:w="226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2</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0</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sửa</w:t>
            </w:r>
          </w:p>
        </w:tc>
      </w:tr>
      <w:tr>
        <w:trPr>
          <w:cantSplit w:val="0"/>
        </w:trPr>
        <w:tc>
          <w:tcPr>
            <w:tcW w:type="dxa" w:w="226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3</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Nên sửa</w:t>
            </w:r>
          </w:p>
        </w:tc>
      </w:tr>
      <w:tr>
        <w:trPr>
          <w:cantSplit w:val="0"/>
        </w:trPr>
        <w:tc>
          <w:tcPr>
            <w:tcW w:type="dxa" w:w="226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Mức 4</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4</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Góp ý nâng cao</w:t>
            </w:r>
          </w:p>
        </w:tc>
      </w:tr>
      <w:tr>
        <w:trPr>
          <w:cantSplit w:val="0"/>
        </w:trPr>
        <w:tc>
          <w:tcPr>
            <w:tcW w:type="dxa" w:w="2268"/>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Tổng</w:t>
            </w:r>
          </w:p>
        </w:tc>
        <w:tc>
          <w:tcPr>
            <w:tcW w:type="dxa" w:w="226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8</w:t>
            </w:r>
          </w:p>
        </w:tc>
        <w:tc>
          <w:tcPr>
            <w:tcW w:type="dxa" w:w="566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r>
          </w:p>
        </w:tc>
      </w:tr>
    </w:tbl>
    <w:p>
      <w:pPr>
        <w:spacing w:after="40"/>
      </w:pPr>
    </w:p>
    <w:p>
      <w:pPr>
        <w:spacing w:before="120" w:after="60"/>
      </w:pPr>
      <w:r>
        <w:rPr>
          <w:rFonts w:ascii="Times New Roman" w:hAnsi="Times New Roman"/>
          <w:b/>
          <w:i w:val="0"/>
          <w:color w:val="2E74B5"/>
          <w:sz w:val="28"/>
        </w:rPr>
        <w:t>Theo nhóm vấn đề</w:t>
      </w:r>
    </w:p>
    <w:tbl>
      <w:tblPr>
        <w:tblStyle w:val="TableGrid"/>
        <w:tblW w:type="auto" w:w="0"/>
        <w:jc w:val="center"/>
        <w:tblLayout w:type="fixed"/>
        <w:tblLook w:firstColumn="1" w:firstRow="1" w:lastColumn="0" w:lastRow="0" w:noHBand="0" w:noVBand="1" w:val="04A0"/>
      </w:tblPr>
      <w:tblGrid>
        <w:gridCol w:w="4536"/>
        <w:gridCol w:w="9639"/>
      </w:tblGrid>
      <w:tr>
        <w:trPr>
          <w:cantSplit w:val="0"/>
          <w:tblHeader w:val="1"/>
        </w:trPr>
        <w:tc>
          <w:tcPr>
            <w:tcW w:type="dxa" w:w="4535"/>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Nhóm</w:t>
            </w:r>
          </w:p>
        </w:tc>
        <w:tc>
          <w:tcPr>
            <w:tcW w:type="dxa" w:w="9638"/>
            <w:shd w:val="clear" w:fill="1F497D"/>
            <w:tcMar>
              <w:top w:w="60" w:type="dxa"/>
              <w:start w:w="90" w:type="dxa"/>
              <w:bottom w:w="60" w:type="dxa"/>
              <w:end w:w="90" w:type="dxa"/>
            </w:tcMar>
            <w:vAlign w:val="top"/>
          </w:tcPr>
          <w:p>
            <w:pPr>
              <w:spacing w:after="0" w:line="240" w:lineRule="auto"/>
              <w:ind w:firstLine="0" w:left="0"/>
              <w:jc w:val="center"/>
            </w:pPr>
            <w:r/>
            <w:r>
              <w:rPr>
                <w:rFonts w:ascii="Times New Roman" w:hAnsi="Times New Roman"/>
                <w:b/>
                <w:i w:val="0"/>
                <w:color w:val="FFFFFF"/>
                <w:sz w:val="28"/>
              </w:rPr>
              <w:t>Nội dung chính</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Thể thức, trình bày</w:t>
            </w:r>
          </w:p>
        </w:tc>
        <w:tc>
          <w:tcPr>
            <w:tcW w:type="dxa" w:w="963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Dấu ngoặc đơn ở II.2; dấu gạch; khoảng trắng cuối dòng</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Nội dung, logic</w:t>
            </w:r>
          </w:p>
        </w:tc>
        <w:tc>
          <w:tcPr>
            <w:tcW w:type="dxa" w:w="963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Tiêu chí chọn ngành ở mục Yêu cầu; nhân sự đoàn</w:t>
            </w:r>
          </w:p>
        </w:tc>
      </w:tr>
      <w:tr>
        <w:trPr>
          <w:cantSplit w:val="0"/>
        </w:trPr>
        <w:tc>
          <w:tcPr>
            <w:tcW w:type="dxa" w:w="4535"/>
            <w:tcMar>
              <w:top w:w="60" w:type="dxa"/>
              <w:start w:w="90" w:type="dxa"/>
              <w:bottom w:w="60" w:type="dxa"/>
              <w:end w:w="90" w:type="dxa"/>
            </w:tcMar>
            <w:vAlign w:val="top"/>
          </w:tcPr>
          <w:p>
            <w:pPr>
              <w:spacing w:after="0" w:line="240" w:lineRule="auto"/>
              <w:ind w:firstLine="0" w:left="0"/>
              <w:jc w:val="center"/>
            </w:pPr>
            <w:r/>
            <w:r>
              <w:rPr>
                <w:rFonts w:ascii="Times New Roman" w:hAnsi="Times New Roman"/>
                <w:b w:val="0"/>
                <w:i w:val="0"/>
                <w:sz w:val="26"/>
              </w:rPr>
              <w:t>Văn phong, thống nhất</w:t>
            </w:r>
          </w:p>
        </w:tc>
        <w:tc>
          <w:tcPr>
            <w:tcW w:type="dxa" w:w="9638"/>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Lặp từ ở V.1; tên phòng; tên gọi Kế hoạch</w:t>
            </w:r>
          </w:p>
        </w:tc>
      </w:tr>
    </w:tbl>
    <w:p>
      <w:pPr>
        <w:spacing w:after="40"/>
      </w:pPr>
    </w:p>
    <w:p>
      <w:pPr>
        <w:spacing w:before="200" w:after="80"/>
      </w:pPr>
      <w:r>
        <w:rPr>
          <w:rFonts w:ascii="Times New Roman" w:hAnsi="Times New Roman"/>
          <w:b/>
          <w:i w:val="0"/>
          <w:color w:val="7030A0"/>
          <w:sz w:val="28"/>
        </w:rPr>
        <w:t>PHẦN V. THẨM ĐỊNH CHUYÊN MÔN</w:t>
      </w:r>
    </w:p>
    <w:p>
      <w:pPr>
        <w:spacing w:after="60" w:line="276" w:lineRule="auto"/>
        <w:jc w:val="both"/>
      </w:pPr>
      <w:r>
        <w:rPr>
          <w:rFonts w:ascii="Times New Roman" w:hAnsi="Times New Roman"/>
          <w:b w:val="0"/>
          <w:i/>
          <w:sz w:val="28"/>
        </w:rPr>
        <w:t>Không có nội dung cần thẩm định chuyên môn.</w:t>
      </w:r>
    </w:p>
    <w:p>
      <w:pPr>
        <w:spacing w:before="200" w:after="80"/>
      </w:pPr>
      <w:r>
        <w:rPr>
          <w:rFonts w:ascii="Times New Roman" w:hAnsi="Times New Roman"/>
          <w:b/>
          <w:i w:val="0"/>
          <w:color w:val="7030A0"/>
          <w:sz w:val="28"/>
        </w:rPr>
        <w:t>PHẦN VI. ĐÁNH GIÁ TỔNG THỂ</w:t>
      </w:r>
    </w:p>
    <w:p>
      <w:pPr>
        <w:spacing w:after="60" w:line="276" w:lineRule="auto"/>
        <w:jc w:val="both"/>
      </w:pPr>
      <w:r>
        <w:rPr>
          <w:rFonts w:ascii="Times New Roman" w:hAnsi="Times New Roman"/>
          <w:b w:val="0"/>
          <w:i w:val="0"/>
          <w:sz w:val="28"/>
        </w:rPr>
        <w:t>Dự thảo hoàn thiện đạt yêu cầu trình ký: không còn vấn đề Mức 1 và Mức 2. Còn 4 vấn đề Mức 3 (dấu câu, từ ngữ) và 4 góp ý Mức 4 chưa xử lý theo yêu cầu của người dùng, không chặn việc trình ký.</w:t>
      </w:r>
    </w:p>
    <w:p>
      <w:pPr>
        <w:spacing w:before="200" w:after="80"/>
      </w:pPr>
      <w:r>
        <w:rPr>
          <w:rFonts w:ascii="Times New Roman" w:hAnsi="Times New Roman"/>
          <w:b/>
          <w:i w:val="0"/>
          <w:color w:val="7030A0"/>
          <w:sz w:val="28"/>
        </w:rPr>
        <w:t>PHẦN VII. KẾT LUẬN VÀ THỨ TỰ XỬ LÝ</w:t>
      </w:r>
    </w:p>
    <w:p>
      <w:pPr>
        <w:spacing w:after="60" w:line="276" w:lineRule="auto"/>
        <w:jc w:val="both"/>
      </w:pPr>
      <w:r>
        <w:rPr>
          <w:rFonts w:ascii="Times New Roman" w:hAnsi="Times New Roman"/>
          <w:b w:val="0"/>
          <w:i w:val="0"/>
          <w:sz w:val="28"/>
        </w:rPr>
        <w:t>- Không còn vấn đề bắt buộc hoặc cần sửa trước khi trình ký (đã xử lý Mức 2).</w:t>
      </w:r>
    </w:p>
    <w:p>
      <w:pPr>
        <w:spacing w:after="60" w:line="276" w:lineRule="auto"/>
        <w:jc w:val="both"/>
      </w:pPr>
      <w:r>
        <w:rPr>
          <w:rFonts w:ascii="Times New Roman" w:hAnsi="Times New Roman"/>
          <w:b w:val="0"/>
          <w:i w:val="0"/>
          <w:sz w:val="28"/>
        </w:rPr>
        <w:t>- Ưu tiên 2 (nên sửa nếu còn thời gian): bỏ ngoặc đơn ở II.2; thống nhất dấu gạch; gọn lặp từ ở V.1; xóa khoảng trắng cuối dòng.</w:t>
      </w:r>
    </w:p>
    <w:p>
      <w:pPr>
        <w:spacing w:after="60" w:line="276" w:lineRule="auto"/>
        <w:jc w:val="both"/>
      </w:pPr>
      <w:r>
        <w:rPr>
          <w:rFonts w:ascii="Times New Roman" w:hAnsi="Times New Roman"/>
          <w:b w:val="0"/>
          <w:i w:val="0"/>
          <w:sz w:val="28"/>
        </w:rPr>
        <w:t>- Ưu tiên 3 (cân nhắc): thêm câu tiêu chí chọn ngành ở Yêu cầu; xác nhận tên phòng ở V.4; thống nhất tên gọi Kế hoạch; nhân sự đoàn.</w:t>
      </w:r>
    </w:p>
    <w:p>
      <w:pPr>
        <w:spacing w:after="60" w:line="276" w:lineRule="auto"/>
        <w:jc w:val="both"/>
      </w:pPr>
      <w:r>
        <w:rPr>
          <w:rFonts w:ascii="Times New Roman" w:hAnsi="Times New Roman"/>
          <w:b w:val="0"/>
          <w:i w:val="0"/>
          <w:sz w:val="28"/>
        </w:rPr>
        <w:t>- Cần người có thẩm quyền xác nhận thẩm quyền ký thay của Phó Hiệu trưởng và cung cấp bản gốc KH 930.</w:t>
      </w:r>
    </w:p>
    <w:p>
      <w:pPr>
        <w:spacing w:before="200" w:after="80"/>
      </w:pPr>
      <w:r>
        <w:rPr>
          <w:rFonts w:ascii="Times New Roman" w:hAnsi="Times New Roman"/>
          <w:b/>
          <w:i w:val="0"/>
          <w:color w:val="7030A0"/>
          <w:sz w:val="28"/>
        </w:rPr>
        <w:t>KIỂM TRA CHẤT LƯỢNG CUỐI CÙNG</w:t>
      </w:r>
    </w:p>
    <w:p>
      <w:pPr>
        <w:spacing w:after="60" w:line="276" w:lineRule="auto"/>
        <w:jc w:val="both"/>
      </w:pPr>
      <w:r>
        <w:rPr>
          <w:rFonts w:ascii="Times New Roman" w:hAnsi="Times New Roman"/>
          <w:b w:val="0"/>
          <w:i w:val="0"/>
          <w:sz w:val="28"/>
        </w:rPr>
        <w:t>- Đã đối chiếu thực tế các tệp trong kho (đã đọc/không tìm thấy ghi tại Phần I); bản hoàn thiện đã được so sánh với bản lần 3.</w:t>
      </w:r>
    </w:p>
    <w:p>
      <w:pPr>
        <w:spacing w:after="60" w:line="276" w:lineRule="auto"/>
        <w:jc w:val="both"/>
      </w:pPr>
      <w:r>
        <w:rPr>
          <w:rFonts w:ascii="Times New Roman" w:hAnsi="Times New Roman"/>
          <w:b w:val="0"/>
          <w:i w:val="0"/>
          <w:sz w:val="28"/>
        </w:rPr>
        <w:t>- Đã rà danh sách dương tính giả: không nêu lỗi dòng 'Ban hành kèm theo', số/ngày dự thảo, số trang Phụ lục, Nơi nhận Công đoàn/Đoàn.</w:t>
      </w:r>
    </w:p>
    <w:p>
      <w:pPr>
        <w:spacing w:after="60" w:line="276" w:lineRule="auto"/>
        <w:jc w:val="both"/>
      </w:pPr>
      <w:r>
        <w:rPr>
          <w:rFonts w:ascii="Times New Roman" w:hAnsi="Times New Roman"/>
          <w:b w:val="0"/>
          <w:i w:val="0"/>
          <w:sz w:val="28"/>
        </w:rPr>
        <w:t>- Đã áp dụng ba xác nhận của người dùng (điều xe, xóa V.7-V.8, trích yếu KH 930) và chỉ xử lý Mức 2 theo yêu cầu; so sánh tệp hoàn thiện với bản lần 3 chỉ khác phần đường kẻ trích yếu.</w:t>
      </w:r>
    </w:p>
    <w:p>
      <w:pPr>
        <w:spacing w:after="60" w:line="276" w:lineRule="auto"/>
        <w:jc w:val="both"/>
      </w:pPr>
      <w:r>
        <w:rPr>
          <w:rFonts w:ascii="Times New Roman" w:hAnsi="Times New Roman"/>
          <w:b w:val="0"/>
          <w:i w:val="0"/>
          <w:sz w:val="28"/>
        </w:rPr>
        <w:t>- Tổng độ rộng các bảng không vượt 25,7 cm; có đủ Nguồn dữ liệu, Người kiểm tra, Trạng thái phê duyệt.</w:t>
      </w:r>
    </w:p>
    <w:p>
      <w:pPr>
        <w:spacing w:before="200" w:after="80"/>
      </w:pPr>
      <w:r>
        <w:rPr>
          <w:rFonts w:ascii="Times New Roman" w:hAnsi="Times New Roman"/>
          <w:b/>
          <w:i w:val="0"/>
          <w:color w:val="7030A0"/>
          <w:sz w:val="28"/>
        </w:rPr>
        <w:t>THÔNG TIN TRÁCH NHIỆM</w:t>
      </w:r>
    </w:p>
    <w:tbl>
      <w:tblPr>
        <w:tblStyle w:val="TableGrid"/>
        <w:tblW w:type="auto" w:w="0"/>
        <w:jc w:val="center"/>
        <w:tblLayout w:type="fixed"/>
        <w:tblLook w:firstColumn="1" w:firstRow="1" w:lastColumn="0" w:lastRow="0" w:noHBand="0" w:noVBand="1" w:val="04A0"/>
      </w:tblPr>
      <w:tblGrid>
        <w:gridCol w:w="2778"/>
        <w:gridCol w:w="11680"/>
      </w:tblGrid>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Nguồn dữ liệu đã dùng</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Dự thảo .docx do người dùng cung cấp (bản hoàn thiện lần 4, không còn Track Changes); kho KTC-Database trên Google Drive (01-Legal-Database, 02-KTC-Regulations, 04-Good-Documents; 03-Templates chỉ có README); checklist 01-08 và Skill 15, 17, 18, 19, 28, 31 của hệ ktc-ra-soat-897 vv2.25. · Công cụ hỗ trợ: Hệ KTC-Ra-Soat-897-v2-Cai-tien (Skill ktc-ra-soat-897, v2.25), chạy ngày 08/10/2026.</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Người kiểm tra</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val="0"/>
                <w:i w:val="0"/>
                <w:sz w:val="26"/>
              </w:rPr>
              <w:t>[CẦN ĐIỀN: họ tên và chức danh người kiểm tra/chịu trách nhiệm xác nhận] chịu trách nhiệm xác nhận kết quả.</w:t>
            </w:r>
          </w:p>
        </w:tc>
      </w:tr>
      <w:tr>
        <w:trPr>
          <w:cantSplit w:val="0"/>
        </w:trPr>
        <w:tc>
          <w:tcPr>
            <w:tcW w:type="dxa" w:w="2778"/>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sz w:val="26"/>
              </w:rPr>
              <w:t>Trạng thái phê duyệt</w:t>
            </w:r>
          </w:p>
        </w:tc>
        <w:tc>
          <w:tcPr>
            <w:tcW w:type="dxa" w:w="11679"/>
            <w:tcMar>
              <w:top w:w="60" w:type="dxa"/>
              <w:start w:w="90" w:type="dxa"/>
              <w:bottom w:w="60" w:type="dxa"/>
              <w:end w:w="90" w:type="dxa"/>
            </w:tcMar>
            <w:vAlign w:val="top"/>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KTC-Ra-Soat-897-v2-Cai-tien (Skill ktc-ra-soat-897, phiên bản v2.25)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2096</Words>
  <Characters>7955</Characters>
  <Application>Microsoft Macintosh Word</Application>
  <DocSecurity>0</DocSecurity>
  <Lines>0</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