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i w:val="0"/>
          <w:sz w:val="26"/>
        </w:rPr>
        <w:t>TRƯỜNG CAO ĐẲNG KON TUM</w:t>
      </w:r>
    </w:p>
    <w:p>
      <w:pPr>
        <w:spacing w:after="80"/>
        <w:jc w:val="center"/>
      </w:pPr>
      <w:r>
        <w:rPr>
          <w:rFonts w:ascii="Times New Roman" w:hAnsi="Times New Roman"/>
          <w:b/>
          <w:i w:val="0"/>
          <w:color w:val="2E74B5"/>
          <w:sz w:val="26"/>
        </w:rPr>
        <w:t>HỆ KTC-RA-SOAT-897-V2-CAI-TIEN</w:t>
      </w:r>
      <w:r>
        <w:rPr>
          <w:rFonts w:ascii="Times New Roman" w:hAnsi="Times New Roman"/>
          <w:b/>
          <w:i w:val="0"/>
          <w:color w:val="2E74B5"/>
          <w:sz w:val="26"/>
        </w:rPr>
        <w:t xml:space="preserve">  |  Báo cáo rà soát chính thức</w:t>
      </w:r>
    </w:p>
    <w:p>
      <w:pPr>
        <w:spacing w:after="60"/>
        <w:jc w:val="center"/>
      </w:pPr>
      <w:r>
        <w:rPr>
          <w:rFonts w:ascii="Times New Roman" w:hAnsi="Times New Roman"/>
          <w:b/>
          <w:i w:val="0"/>
          <w:color w:val="0000FF"/>
          <w:sz w:val="30"/>
        </w:rPr>
        <w:t>BÁO CÁO RÀ SOÁT CHÍNH THỨC TRƯỚC KHI TRÌNH KÝ</w:t>
      </w:r>
    </w:p>
    <w:p>
      <w:pPr>
        <w:spacing w:after="60"/>
        <w:jc w:val="center"/>
      </w:pPr>
      <w:r>
        <w:rPr>
          <w:rFonts w:ascii="Times New Roman" w:hAnsi="Times New Roman"/>
          <w:b/>
          <w:i w:val="0"/>
          <w:sz w:val="28"/>
        </w:rPr>
        <w:t>KẾ HOẠCH TRIỂN KHAI THỰC HIỆN THÔNG TƯ SỐ 72/2026/TT-BGDĐT (DỰ THẢO)</w:t>
      </w:r>
    </w:p>
    <w:p>
      <w:pPr>
        <w:jc w:val="center"/>
      </w:pPr>
      <w:r>
        <w:rPr>
          <w:rFonts w:ascii="Times New Roman" w:hAnsi="Times New Roman"/>
          <w:b w:val="0"/>
          <w:i w:val="0"/>
          <w:sz w:val="26"/>
        </w:rPr>
        <w:t xml:space="preserve">Ngày rà soát: </w:t>
      </w:r>
      <w:r>
        <w:rPr>
          <w:rFonts w:ascii="Times New Roman" w:hAnsi="Times New Roman"/>
          <w:b/>
          <w:i w:val="0"/>
          <w:sz w:val="26"/>
        </w:rPr>
        <w:t>02/10/2026</w:t>
      </w:r>
      <w:r>
        <w:rPr>
          <w:rFonts w:ascii="Times New Roman" w:hAnsi="Times New Roman"/>
          <w:b w:val="0"/>
          <w:i w:val="0"/>
          <w:sz w:val="26"/>
        </w:rPr>
        <w:t xml:space="preserve">  |  Đơn vị soạn thảo: </w:t>
      </w:r>
      <w:r>
        <w:rPr>
          <w:rFonts w:ascii="Times New Roman" w:hAnsi="Times New Roman"/>
          <w:b/>
          <w:i w:val="0"/>
          <w:sz w:val="26"/>
        </w:rPr>
        <w:t>Phòng Quản lý Đào tạo và Bảo đảm chất lượng</w:t>
      </w:r>
      <w:r>
        <w:rPr>
          <w:rFonts w:ascii="Times New Roman" w:hAnsi="Times New Roman"/>
          <w:b w:val="0"/>
          <w:i w:val="0"/>
          <w:sz w:val="26"/>
        </w:rPr>
        <w:t xml:space="preserve">  |  Thẩm quyền: </w:t>
      </w:r>
      <w:r>
        <w:rPr>
          <w:rFonts w:ascii="Times New Roman" w:hAnsi="Times New Roman"/>
          <w:b/>
          <w:i w:val="0"/>
          <w:sz w:val="26"/>
        </w:rPr>
        <w:t>Hiệu trưởng</w:t>
      </w:r>
    </w:p>
    <w:p>
      <w:pPr>
        <w:spacing w:after="60" w:line="276" w:lineRule="auto"/>
        <w:jc w:val="both"/>
      </w:pPr>
      <w:r>
        <w:rPr>
          <w:rFonts w:ascii="Times New Roman" w:hAnsi="Times New Roman"/>
          <w:b/>
          <w:i w:val="0"/>
          <w:color w:val="C00000"/>
          <w:sz w:val="28"/>
        </w:rPr>
        <w:t>⚠️ Kết quả này chưa được đối chiếu với kho 01-04 theo yêu cầu của người dùng — độ tin cậy hạn chế. (Ghi chú: các truy vấn tìm kiếm trên Google Drive về kho 01-04 và văn bản liên quan không trả về tệp khớp; người dùng chọn tiếp tục rà soát.)</w:t>
      </w:r>
    </w:p>
    <w:p>
      <w:pPr>
        <w:spacing w:before="200" w:after="80"/>
      </w:pPr>
      <w:r>
        <w:rPr>
          <w:rFonts w:ascii="Times New Roman" w:hAnsi="Times New Roman"/>
          <w:b/>
          <w:i w:val="0"/>
          <w:color w:val="7030A0"/>
          <w:sz w:val="28"/>
        </w:rPr>
        <w:t>PHẦN I. THÔNG TIN CHUNG</w:t>
      </w:r>
    </w:p>
    <w:tbl>
      <w:tblPr>
        <w:tblStyle w:val="TableGrid"/>
        <w:tblW w:type="auto" w:w="0"/>
        <w:jc w:val="center"/>
        <w:tblLayout w:type="fixed"/>
        <w:tblLook w:firstColumn="1" w:firstRow="1" w:lastColumn="0" w:lastRow="0" w:noHBand="0" w:noVBand="1" w:val="04A0"/>
      </w:tblPr>
      <w:tblGrid>
        <w:gridCol w:w="2778"/>
        <w:gridCol w:w="11680"/>
      </w:tblGrid>
      <w:tr>
        <w:trPr>
          <w:cantSplit w:val="0"/>
          <w:tblHeader w:val="1"/>
        </w:trPr>
        <w:tc>
          <w:tcPr>
            <w:tcW w:type="dxa" w:w="277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MỤC</w:t>
            </w:r>
          </w:p>
        </w:tc>
        <w:tc>
          <w:tcPr>
            <w:tcW w:type="dxa" w:w="11679"/>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NỘI DUNG</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Hệ quy chiếu</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Văn bản hành chính nhà nước — Nghị định 30/2020/NĐ-CP (Phụ lục I) và Thông báo 597/TB-CĐKT. Căn cứ xác định: ký hiệu "/KH-CĐKT" không có năm ban hành; đầu văn bản theo mẫu 2.1 (UBND TỈNH QUẢNG NGÃI / TRƯỜNG CAO ĐẲNG KON TUM, Quốc hiệu - Tiêu ngữ); không có dấu hiệu của hệ Đảng, VBQPPL hay đoàn thể.</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Loại văn bản</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Kế hoạch (dự thảo, chưa có số và ngày ban hành) — Kế hoạch triển khai thực hiện Thông tư số 72/2026/TT-BGDĐT ngày 28/8/2026 của Bộ trưởng Bộ Giáo dục và Đào tạo.</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Cơ quan ban hành</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Trường Cao đẳng Kon Tum; đơn vị soạn thảo: Phòng Quản lý Đào tạo và Bảo đảm chất lượng (theo dòng "Lưu: VT, QLĐT"); người ký: Hiệu trưởng.</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Hình thức văn bản</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Chưa được người dùng xác nhận là bản giấy hay điện tử. Áp dụng mặc định của Trường: văn bản điện tử ký số — do đó không xét các nội dung chỉ phát sinh với bản giấy.</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Lĩnh vực chuyên môn</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Giáo dục nghề nghiệp: hợp tác, liên kết đào tạo; tuyển sinh; cơ sở vật chất, thiết bị; tổ chức bộ máy; báo cáo, kiểm tra, giám sát.</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Phạm vi rà soát</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Toàn văn tệp .docx: đầu văn bản, trích yếu, căn cứ, đoạn mở đầu, bảng nhiệm vụ 29 STT (4 nhóm I–IV, 12 cột), đoạn kết, nơi nhận, chữ ký; định dạng thật (khổ giấy, lề, cỡ chữ, kiểu chữ, số trang, độ rộng bảng) đo từ XML của tệp. Giới hạn: không thẩm định nội dung chuyên môn của Thông tư 72 và định mức điểm chấm/hệ số (xem Phần V).</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Nguồn dữ liệu</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Tệp đầu vào: Ke_hoach_trien_khai_Thong_tu_so_72__02-10-2026_.docx. Tài liệu đối chiếu đã đọc: bộ checklist và skill đóng gói trong hệ KTC-Ra-Soat-897 (Checklist 01, 05, 07, 08; Skill 28; Prompt rà soát Kế hoạch) — đây là tri thức đóng gói sẵn, KHÔNG phải bản gốc văn bản pháp luật. Tệp tìm thấy trong kho 01-04 trên Google Drive: 0. Tệp đã đọc từ kho 01-04: 0. Không tìm thấy: Thông tư 72/2026/TT-BGDĐT, Luật Giáo dục nghề nghiệp, TB 597/TB-CĐKT (bản gốc), NĐ 30/2020/NĐ-CP (bản gốc), mẫu Kế hoạch trong 03-Templates, quy chế nội bộ liên quan.</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Thống nhất tiền đề</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Chưa có báo cáo rà soát hay giải trình tiếp thu trước đó của văn bản này. Không dùng báo cáo của công cụ AI khác làm căn cứ.</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Thời điểm xác minh</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02/10/2026. Không có điều kiện xác minh độc lập hiệu lực và nội dung các văn bản được viện dẫn: phiên làm việc không có công cụ tra cứu web (đã thử truy cập cổng pháp luật vbpl.vn — bị chặn, host_not_allowed) và không đọc được kho 01-04. Đây là khoảng trống đơn vị soạn thảo/pháp chế cần tự xác minh (xem II.B). Chưa được xác minh bằng nguồn bên ngoài.</w:t>
            </w:r>
          </w:p>
        </w:tc>
      </w:tr>
    </w:tbl>
    <w:p>
      <w:pPr>
        <w:spacing w:after="40"/>
      </w:pPr>
    </w:p>
    <w:p>
      <w:pPr>
        <w:spacing w:before="200" w:after="80"/>
      </w:pPr>
      <w:r>
        <w:rPr>
          <w:rFonts w:ascii="Times New Roman" w:hAnsi="Times New Roman"/>
          <w:b/>
          <w:i w:val="0"/>
          <w:color w:val="7030A0"/>
          <w:sz w:val="28"/>
        </w:rPr>
        <w:t>PHẦN II. KẾT QUẢ RÀ SOÁT CHI TIẾT</w:t>
      </w:r>
    </w:p>
    <w:p>
      <w:pPr>
        <w:spacing w:before="120" w:after="60"/>
      </w:pPr>
      <w:r>
        <w:rPr>
          <w:rFonts w:ascii="Times New Roman" w:hAnsi="Times New Roman"/>
          <w:b/>
          <w:i w:val="0"/>
          <w:color w:val="2E74B5"/>
          <w:sz w:val="28"/>
        </w:rPr>
        <w:t>II.A. Vấn đề phát hiện được trong Kế hoạch</w:t>
      </w:r>
    </w:p>
    <w:tbl>
      <w:tblPr>
        <w:tblStyle w:val="TableGrid"/>
        <w:tblW w:type="auto" w:w="0"/>
        <w:jc w:val="center"/>
        <w:tblLayout w:type="fixed"/>
        <w:tblLook w:firstColumn="1" w:firstRow="1" w:lastColumn="0" w:lastRow="0" w:noHBand="0" w:noVBand="1" w:val="04A0"/>
      </w:tblPr>
      <w:tblGrid>
        <w:gridCol w:w="567"/>
        <w:gridCol w:w="2494"/>
        <w:gridCol w:w="5499"/>
        <w:gridCol w:w="3005"/>
        <w:gridCol w:w="1644"/>
        <w:gridCol w:w="1077"/>
      </w:tblGrid>
      <w:tr>
        <w:trPr>
          <w:cantSplit w:val="0"/>
          <w:tblHeader w:val="1"/>
        </w:trPr>
        <w:tc>
          <w:tcPr>
            <w:tcW w:type="dxa" w:w="567"/>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TT</w:t>
            </w:r>
          </w:p>
        </w:tc>
        <w:tc>
          <w:tcPr>
            <w:tcW w:type="dxa" w:w="249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NỘI DUNG</w:t>
            </w:r>
          </w:p>
        </w:tc>
        <w:tc>
          <w:tcPr>
            <w:tcW w:type="dxa" w:w="5499"/>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NHẬN XÉT</w:t>
            </w:r>
          </w:p>
        </w:tc>
        <w:tc>
          <w:tcPr>
            <w:tcW w:type="dxa" w:w="3005"/>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KIẾN NGHỊ</w:t>
            </w:r>
          </w:p>
        </w:tc>
        <w:tc>
          <w:tcPr>
            <w:tcW w:type="dxa" w:w="164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CĂN CỨ</w:t>
            </w:r>
          </w:p>
        </w:tc>
        <w:tc>
          <w:tcPr>
            <w:tcW w:type="dxa" w:w="1077"/>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 Bố cục Kế hoạch (toàn văn)</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Văn bản đi thẳng từ phần căn cứ vào bảng 29 nhiệm vụ. Chưa có phần nêu mục đích, yêu cầu; chưa có phần tổ chức thực hiện bằng lời văn (trách nhiệm tổng hợp, chế độ báo cáo tiến độ nội bộ cho Hiệu trưởng, nguồn lực/kinh phí nếu có). Đoạn kết chỉ giao Phòng QLĐT&amp;BĐCL làm đầu mối. Chưa đối chiếu được mẫu Kế hoạch trong 03-Templates nên chưa kết luận mẫu của Trường có yêu cầu các phần này hay không.</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Bổ sung ngắn gọn trước bảng: I. Mục đích, yêu cầu; sau bảng: tổ chức thực hiện (đầu mối tổng hợp, tần suất báo cáo tiến độ, nguồn lực). Đối chiếu mẫu Kế hoạch tại 03-Templates khi có.</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07 (Kế hoạch)</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2</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 STT 20 (nhóm III)</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Tên công việc là "Khảo sát nhu cầu, năng lực của các bên; phục vụ xây dựng Đề án..." nhưng sản phẩm ghi "Đề án về liên kết thành lập khoa, trung tâm, đơn vị đào tạo chuyên môn" và hạn "30 ngày kể từ ngày có chủ trương" — nội dung công việc (khảo sát) lệch với sản phẩm (Đề án); câu mở đầu "Khảo sát...; phục vụ xây dựng Đề án..." cũng chưa rõ chủ ngữ hành động.</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Tách thành hai nội dung (khảo sát — sản phẩm: báo cáo khảo sát; xây dựng Đề án — sản phẩm: Đề án) hoặc sửa tên công việc thành "Khảo sát và xây dựng Đề án..." cho khớp sản phẩm; nêu rõ hạn từng sản phẩm.</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07; Skill 15 (logic nội bộ)</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3</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 Phân công chủ trì (STT 3, 4, 26, 27)</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Bốn STT ghi hai đơn vị cùng chủ trì (Phòng QLKHCN&amp;HTPT cho thỏa thuận/hợp đồng hợp tác; Phòng QLĐT&amp;BĐCL cho hợp đồng liên kết) nhưng sản phẩm chỉ là một (một danh mục; một báo cáo rà soát; một bộ hồ sơ; một kế hoạch kiểm tra). Chưa rõ đơn vị nào tổng hợp và chịu trách nhiệm cuối cùng về sản phẩm; điểm chấm 120/150 cũng chưa rõ tính cho đơn vị nào.</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Chỉ định một đơn vị chủ trì tổng hợp (ví dụ Phòng QLĐT&amp;BĐCL — đã là đầu mối theo đoạn kết) và đơn vị còn lại ghi phối hợp; hoặc tách mỗi mảng thành một STT/sản phẩm riêng.</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Prompt rà soát Kế hoạch, tiêu chí 4</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4</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 Mốc thời gian (STT 13, 16, 17, 18)</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STT 13 (rà soát phạm vi ngành, nghề, địa điểm đang thực hiện liên kết) ghi hạn "Trước khi tuyển sinh, tổ chức liên kết đào tạo" — đây là việc rà soát hiện trạng, không phải nhiệm vụ chỉ phát sinh khi có sự kiện, nhưng không có mốc ngày. STT 16, 17, 18 gắn với sự kiện ("Trước mỗi đợt tuyển sinh...", "Trước khi tổ chức đào tạo...") — chấp nhận được với việc thường xuyên nhưng chưa đo lường được so với kế hoạch tuyển sinh hằng năm.</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STT 13: ấn định hạn cụ thể (ví dụ đồng bộ với STT 4 hoặc trước 31/12/2026). STT 16–18: ghi thêm mốc tối thiểu (ví dụ trước ngày công bố kế hoạch tuyển sinh năm) hoặc số ngày làm việc tính từ sự kiện.</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Prompt rà soát Kế hoạch, tiêu chí 2</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5</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 STT 28 và Nơi nhận</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STT 28 yêu cầu gửi báo cáo cho Ủy ban nhân dân tỉnh Quảng Ngãi và Sở Giáo dục và Đào tạo; Nơi nhận của Kế hoạch chỉ có Sở Giáo dục và Đào tạo (báo cáo), không có UBND tỉnh. Chưa đủ căn cứ kết luận là sai (Kế hoạch nội bộ không bắt buộc gửi UBND tỉnh), chỉ là điểm cần thống nhất.</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Xác nhận có cần gửi Kế hoạch cho UBND tỉnh hay không; nếu không, giữ nguyên Nơi nhận và nêu rõ báo cáo năm là văn bản riêng.</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Skill 18 (tính thống nhất)</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6</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 STT 15 (cột Đơn vị phối hợp)</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Ghi "Tổ Quản trị hệ thống thông tin" — tên này không có trong bảng 18 đơn vị của TB 597 mục 3.4 (Checklist 08). Chưa đủ căn cứ kết luận là sai vì có thể là tổ trực thuộc một phòng.</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Xác nhận tên và đơn vị quản lý của tổ; nếu trực thuộc phòng, nên ghi rõ phòng (ví dụ "Tổ ... thuộc Phòng ...") hoặc ghi tên phòng phối hợp.</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08 mục 3.4</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7</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Thể thức — Độ rộng bảng nhiệm vụ</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Bảng 12 cột có tổng độ rộng 25,49 cm (tblW 14.454 dxa), trong khi vùng trình bày khổ A4 ngang là 24,7 cm (297 − 30 − 20 mm; 14.003 dxa). Bảng rộng hơn vùng trình bày ~0,8 cm; do căn giữa nên lấn ra khoảng 4 mm mỗi bên, làm lề trái thực tế còn khoảng 26 mm (&lt; 30 mm). Lề trang đã đúng; chỉ bảng vượt vùng trình bày.</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Co tổng độ rộng cột về ≤ 24,7 cm (ví dụ giảm cột (2) từ 6,31 cm xuống khoảng 5,5 cm), giữ nguyên các cột còn lại.</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NĐ 30 PL I (lề trái 30–35 mm); Checklist 05 mục 1</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8</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Chất lượng soạn thảo — Viện dẫn Thông tư 72 lặp lại</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Tên đầy đủ của Thông tư 72 xuất hiện ba lần: trích yếu, căn cứ thứ hai và đoạn mở đầu "Trường Cao đẳng Kon Tum xây dựng Kế hoạch...". Quy ước của Trường: viện dẫn lần đầu ghi đầy đủ, các lần sau chỉ ghi tên loại và số, ký hiệu.</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Đoạn mở đầu sửa thành: "Trường Cao đẳng Kon Tum xây dựng Kế hoạch triển khai thực hiện Thông tư số 72/2026/TT-BGDĐT (sau đây gọi tắt là Thông tư số 72), với các nội dung cụ thể như sau:".</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08 mục 5.2–5.4</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9</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Chất lượng soạn thảo — Trích yếu</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Trích yếu dài ba dòng do nhắc lại đầy đủ tên Thông tư. Không sai quy định nhưng nặng nề, trong khi căn cứ đã nêu đầy đủ.</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Cân nhắc rút gọn: "triển khai thực hiện Thông tư số 72/2026/TT-BGDĐT ngày 28 tháng 8 năm 2026 của Bộ trưởng Bộ Giáo dục và Đào tạo".</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Skill 19 (chất lượng)</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10</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Chất lượng soạn thảo — Tham chiếu chéo "mục"</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Các STT 3, 6, 12, 21, 22 dùng "mục 4", "mục 5", "mục 11", "mục 21", "mục 22" để chỉ số thứ tự dòng, dễ nhầm với các mục I–IV của bảng. Các số dẫn đều khớp đúng nhiệm vụ được nhắc.</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Đổi thành "STT 4", "STT 5"... để tránh nhầm với mục La Mã.</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Skill 18 (tính thống nhất)</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11</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Chất lượng soạn thảo — Từ "kịp thời" (STT 14, 29)</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STT 14 ("kịp thời thông báo khi có thay đổi") và STT 29 ("kịp thời phản ánh khó khăn, vướng mắc") dùng từ chưa đo lường được. Các STT 4 và 24 cũng có từ này nhưng đã đi kèm thời hạn cụ thể nên không nêu.</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Nếu Thông tư 72 hoặc quy định của Trường có thời hạn, ghi rõ số ngày; nếu không có, giữ nguyên.</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Prompt rà soát Kế hoạch, tiêu chí 2</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bl>
    <w:p>
      <w:pPr>
        <w:spacing w:after="40"/>
      </w:pPr>
    </w:p>
    <w:p>
      <w:pPr>
        <w:spacing w:before="120" w:after="60"/>
      </w:pPr>
      <w:r>
        <w:rPr>
          <w:rFonts w:ascii="Times New Roman" w:hAnsi="Times New Roman"/>
          <w:b/>
          <w:i w:val="0"/>
          <w:color w:val="2E74B5"/>
          <w:sz w:val="28"/>
        </w:rPr>
        <w:t>II.B. Nội dung chưa đủ căn cứ để kết luận (chưa có điều kiện xác minh)</w:t>
      </w:r>
    </w:p>
    <w:tbl>
      <w:tblPr>
        <w:tblStyle w:val="TableGrid"/>
        <w:tblW w:type="auto" w:w="0"/>
        <w:jc w:val="center"/>
        <w:tblLayout w:type="fixed"/>
        <w:tblLook w:firstColumn="1" w:firstRow="1" w:lastColumn="0" w:lastRow="0" w:noHBand="0" w:noVBand="1" w:val="04A0"/>
      </w:tblPr>
      <w:tblGrid>
        <w:gridCol w:w="567"/>
        <w:gridCol w:w="2494"/>
        <w:gridCol w:w="5499"/>
        <w:gridCol w:w="3005"/>
        <w:gridCol w:w="1644"/>
        <w:gridCol w:w="1077"/>
      </w:tblGrid>
      <w:tr>
        <w:trPr>
          <w:cantSplit w:val="0"/>
          <w:tblHeader w:val="1"/>
        </w:trPr>
        <w:tc>
          <w:tcPr>
            <w:tcW w:type="dxa" w:w="567"/>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TT</w:t>
            </w:r>
          </w:p>
        </w:tc>
        <w:tc>
          <w:tcPr>
            <w:tcW w:type="dxa" w:w="249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NỘI DUNG</w:t>
            </w:r>
          </w:p>
        </w:tc>
        <w:tc>
          <w:tcPr>
            <w:tcW w:type="dxa" w:w="5499"/>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NHẬN XÉT</w:t>
            </w:r>
          </w:p>
        </w:tc>
        <w:tc>
          <w:tcPr>
            <w:tcW w:type="dxa" w:w="3005"/>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KIẾN NGHỊ</w:t>
            </w:r>
          </w:p>
        </w:tc>
        <w:tc>
          <w:tcPr>
            <w:tcW w:type="dxa" w:w="164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CĂN CỨ</w:t>
            </w:r>
          </w:p>
        </w:tc>
        <w:tc>
          <w:tcPr>
            <w:tcW w:type="dxa" w:w="1077"/>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Thông tư số 72/2026/TT-BGDĐT ngày 28/8/2026</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Toàn bộ viện dẫn điều, khoản trong Kế hoạch (Điều 4–22, riêng Điều 22 là quy định chuyển tiếp), ngày có hiệu lực 12/10/2026, thời hạn chuyển tiếp 6 tháng (đến 12/4/2027), nội dung mẫu Phụ lục I, thời hạn báo cáo năm (trước 15/01, số liệu tính đến 31/12) và các thời hạn 5 ngày làm việc (STT 24, 25), 10 ngày làm việc (STT 26) chưa được đối chiếu với toàn văn. Kiểm tra số học nội bộ: 12/10/2026 cộng 6 tháng đúng bằng 12/4/2027.</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Đơn vị soạn thảo đối chiếu từng viện dẫn với toàn văn Thông tư 72; xác định các thời hạn 5/10 ngày làm việc là quy định của Thông tư hay do Trường tự đặt.</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Chưa xác minh</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Chưa xác minh</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2</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Luật Giáo dục nghề nghiệp ngày 10/12/2025</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Tên, ngày thông qua và hiệu lực của Luật chưa được xác minh với nguồn chính thức. Cách ghi (tên luật và ngày) phù hợp cách viện dẫn luật của NĐ 30.</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Đối chiếu với Cổng thông tin pháp luật quốc gia trước khi trình ký.</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Chưa xác minh</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Chưa xác minh</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3</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Điểm chấm công việc và hệ số quy đổi (cột 10, 11)</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Cả 29 STT khớp nhau nội bộ: 20 STT "Trung bình" đều 120 điểm / hệ số 1,2; 9 STT "Cao" đều 150 điểm / hệ số 1,5. Quy định của Trường về thang điểm và hệ số quy đổi chưa có để đối chiếu.</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Phòng TCCB&amp;CTHSSV hoặc đơn vị phụ trách quy chế chấm điểm công việc xác nhận thang điểm.</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Chưa xác minh</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Chưa xác minh</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4</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Mẫu và quy chế của Trường</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Chưa đối chiếu được mẫu Kế hoạch trong 03-Templates, văn bản tốt cùng loại trong 04-Good-Documents, quy chế nội bộ trong 02-KTC-Regulations; thể thức được đối chiếu qua checklist đóng gói (cỡ chữ, ký hiệu, nơi nhận) chứ không đọc trực tiếp TB 597.</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Đối chiếu lại khi kho 01-04 được kết nối hoặc khi gửi tệp mẫu.</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Chưa xác minh</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Chưa xác minh</w:t>
            </w:r>
          </w:p>
        </w:tc>
      </w:tr>
    </w:tbl>
    <w:p>
      <w:pPr>
        <w:spacing w:after="40"/>
      </w:pPr>
    </w:p>
    <w:p>
      <w:pPr>
        <w:spacing w:before="200" w:after="80"/>
      </w:pPr>
      <w:r>
        <w:rPr>
          <w:rFonts w:ascii="Times New Roman" w:hAnsi="Times New Roman"/>
          <w:b/>
          <w:i w:val="0"/>
          <w:color w:val="7030A0"/>
          <w:sz w:val="28"/>
        </w:rPr>
        <w:t>PHẦN III. NỘI DUNG ĐẠT / KHÔNG PHÁT HIỆN VẤN ĐỀ</w:t>
      </w:r>
    </w:p>
    <w:p>
      <w:pPr>
        <w:spacing w:after="60" w:line="276" w:lineRule="auto"/>
        <w:jc w:val="both"/>
      </w:pPr>
      <w:r>
        <w:rPr>
          <w:rFonts w:ascii="Times New Roman" w:hAnsi="Times New Roman"/>
          <w:b w:val="0"/>
          <w:i/>
          <w:sz w:val="28"/>
        </w:rPr>
        <w:t>Đối chiếu với checklist đóng gói của hệ (Checklist 01, 05, 08), không phải bản gốc văn bản pháp luật.</w:t>
      </w:r>
    </w:p>
    <w:p>
      <w:pPr>
        <w:spacing w:before="80" w:after="40"/>
      </w:pPr>
      <w:r>
        <w:rPr>
          <w:rFonts w:ascii="Times New Roman" w:hAnsi="Times New Roman"/>
          <w:b/>
          <w:i/>
          <w:sz w:val="28"/>
        </w:rPr>
        <w:t>Thể thức</w:t>
      </w:r>
    </w:p>
    <w:p>
      <w:pPr>
        <w:spacing w:after="60" w:line="276" w:lineRule="auto"/>
        <w:jc w:val="both"/>
      </w:pPr>
      <w:r>
        <w:rPr>
          <w:rFonts w:ascii="Times New Roman" w:hAnsi="Times New Roman"/>
          <w:b w:val="0"/>
          <w:i w:val="0"/>
          <w:sz w:val="28"/>
        </w:rPr>
        <w:t>• Đầu văn bản khớp mẫu 2.1: UBND TỈNH QUẢNG NGÃI / TRƯỜNG CAO ĐẲNG KON TUM; Quốc hiệu in hoa cỡ 13 đậm; Tiêu ngữ cỡ 14 đậm; địa danh, ngày cỡ 14 nghiêng; ngày để trống, tháng 10 ghi hai chữ số.</w:t>
      </w:r>
    </w:p>
    <w:p>
      <w:pPr>
        <w:spacing w:after="60" w:line="276" w:lineRule="auto"/>
        <w:jc w:val="both"/>
      </w:pPr>
      <w:r>
        <w:rPr>
          <w:rFonts w:ascii="Times New Roman" w:hAnsi="Times New Roman"/>
          <w:b w:val="0"/>
          <w:i w:val="0"/>
          <w:sz w:val="28"/>
        </w:rPr>
        <w:t>• Số, ký hiệu: "Số:        /KH-CĐKT" cỡ 13, khoảng trống sau "Số:" từ 6 ký tự trở lên, ký hiệu đúng loại Kế hoạch, không chứa năm.</w:t>
      </w:r>
    </w:p>
    <w:p>
      <w:pPr>
        <w:spacing w:after="60" w:line="276" w:lineRule="auto"/>
        <w:jc w:val="both"/>
      </w:pPr>
      <w:r>
        <w:rPr>
          <w:rFonts w:ascii="Times New Roman" w:hAnsi="Times New Roman"/>
          <w:b w:val="0"/>
          <w:i w:val="0"/>
          <w:sz w:val="28"/>
        </w:rPr>
        <w:t>• Tên loại "KẾ HOẠCH" và trích yếu cỡ 14 đậm, căn giữa; căn cứ in nghiêng cỡ 14; nội dung cỡ 14, dàn đều hai lề, thụt đầu dòng 1,27 cm, cách đoạn 6pt, cách dòng 1,15.</w:t>
      </w:r>
    </w:p>
    <w:p>
      <w:pPr>
        <w:spacing w:after="60" w:line="276" w:lineRule="auto"/>
        <w:jc w:val="both"/>
      </w:pPr>
      <w:r>
        <w:rPr>
          <w:rFonts w:ascii="Times New Roman" w:hAnsi="Times New Roman"/>
          <w:b w:val="0"/>
          <w:i w:val="0"/>
          <w:sz w:val="28"/>
        </w:rPr>
        <w:t>• Khổ giấy A4 ngang (có bảng biểu nằm trong văn bản, NĐ 30 cho phép trình bày theo chiều rộng); lề trên 20 mm, dưới 20 mm, trái 30 mm, phải 20 mm đều nằm trong khoảng cho phép; phông Times New Roman.</w:t>
      </w:r>
    </w:p>
    <w:p>
      <w:pPr>
        <w:spacing w:after="60" w:line="276" w:lineRule="auto"/>
        <w:jc w:val="both"/>
      </w:pPr>
      <w:r>
        <w:rPr>
          <w:rFonts w:ascii="Times New Roman" w:hAnsi="Times New Roman"/>
          <w:b w:val="0"/>
          <w:i w:val="0"/>
          <w:sz w:val="28"/>
        </w:rPr>
        <w:t>• Số trang: header mặc định có trường PAGE, canh giữa, cỡ 14; bật "trang đầu khác" nên không hiển thị số trang thứ nhất.</w:t>
      </w:r>
    </w:p>
    <w:p>
      <w:pPr>
        <w:spacing w:after="60" w:line="276" w:lineRule="auto"/>
        <w:jc w:val="both"/>
      </w:pPr>
      <w:r>
        <w:rPr>
          <w:rFonts w:ascii="Times New Roman" w:hAnsi="Times New Roman"/>
          <w:b w:val="0"/>
          <w:i w:val="0"/>
          <w:sz w:val="28"/>
        </w:rPr>
        <w:t>• Chữ ký: HIỆU TRƯỞNG cỡ 14 đậm, họ tên cỡ 14 đậm, không ghi học hàm, học vị. Nơi nhận: từ "Nơi nhận:" cỡ 12 nghiêng đậm; danh sách cỡ 11, đầu dòng "-", cuối dòng ";", dòng cuối "Lưu: VT, QLĐT." (viết tắt cột giữa bảng 3.4 TB 597 là đúng).</w:t>
      </w:r>
    </w:p>
    <w:p>
      <w:pPr>
        <w:spacing w:after="60" w:line="276" w:lineRule="auto"/>
        <w:jc w:val="both"/>
      </w:pPr>
      <w:r>
        <w:rPr>
          <w:rFonts w:ascii="Times New Roman" w:hAnsi="Times New Roman"/>
          <w:b w:val="0"/>
          <w:i w:val="0"/>
          <w:sz w:val="28"/>
        </w:rPr>
        <w:t>• Nơi nhận ghi "Công đoàn Trường", "Đoàn Trường", "Hội Sinh viên Trường" đúng mẫu TB 597 — không phải lỗi.</w:t>
      </w:r>
    </w:p>
    <w:p>
      <w:pPr>
        <w:spacing w:after="60" w:line="276" w:lineRule="auto"/>
        <w:jc w:val="both"/>
      </w:pPr>
      <w:r>
        <w:rPr>
          <w:rFonts w:ascii="Times New Roman" w:hAnsi="Times New Roman"/>
          <w:b w:val="0"/>
          <w:i w:val="0"/>
          <w:sz w:val="28"/>
        </w:rPr>
        <w:t>• Dòng chỉ dẫn xuất xứ "(Ban hành kèm theo...)" và số, ngày ban hành bỏ trống: trạng thái bình thường của dự thảo văn bản điện tử — không nêu là lỗi.</w:t>
      </w:r>
    </w:p>
    <w:p>
      <w:pPr>
        <w:spacing w:before="80" w:after="40"/>
      </w:pPr>
      <w:r>
        <w:rPr>
          <w:rFonts w:ascii="Times New Roman" w:hAnsi="Times New Roman"/>
          <w:b/>
          <w:i/>
          <w:sz w:val="28"/>
        </w:rPr>
        <w:t>Nội dung và quy ước riêng của Trường</w:t>
      </w:r>
    </w:p>
    <w:p>
      <w:pPr>
        <w:spacing w:after="60" w:line="276" w:lineRule="auto"/>
        <w:jc w:val="both"/>
      </w:pPr>
      <w:r>
        <w:rPr>
          <w:rFonts w:ascii="Times New Roman" w:hAnsi="Times New Roman"/>
          <w:b w:val="0"/>
          <w:i w:val="0"/>
          <w:sz w:val="28"/>
        </w:rPr>
        <w:t>• Không có từ "đảm bảo" (dùng "bảo đảm"); "Nhà trường" xuất hiện một lần đúng vị trí đầu câu sau dấu chấm.</w:t>
      </w:r>
    </w:p>
    <w:p>
      <w:pPr>
        <w:spacing w:after="60" w:line="276" w:lineRule="auto"/>
        <w:jc w:val="both"/>
      </w:pPr>
      <w:r>
        <w:rPr>
          <w:rFonts w:ascii="Times New Roman" w:hAnsi="Times New Roman"/>
          <w:b w:val="0"/>
          <w:i w:val="0"/>
          <w:sz w:val="28"/>
        </w:rPr>
        <w:t>• Tên đơn vị trong bảng dùng đúng cột chữ viết tắt hành văn: Phòng QLĐT&amp;BĐCL, Phòng QLKHCN&amp;HTPT, Phòng TC-KT, Phòng TCCB&amp;CTHSSV; các đơn vị liệt kê cách nhau bằng dấu phẩy.</w:t>
      </w:r>
    </w:p>
    <w:p>
      <w:pPr>
        <w:spacing w:after="60" w:line="276" w:lineRule="auto"/>
        <w:jc w:val="both"/>
      </w:pPr>
      <w:r>
        <w:rPr>
          <w:rFonts w:ascii="Times New Roman" w:hAnsi="Times New Roman"/>
          <w:b w:val="0"/>
          <w:i w:val="0"/>
          <w:sz w:val="28"/>
        </w:rPr>
        <w:t>• Quy tắc căn cứ QĐ 1976/QĐ-CĐKT không áp dụng vì văn bản là Kế hoạch (không phải quyết định) — không nêu là lỗi thiếu căn cứ.</w:t>
      </w:r>
    </w:p>
    <w:p>
      <w:pPr>
        <w:spacing w:after="60" w:line="276" w:lineRule="auto"/>
        <w:jc w:val="both"/>
      </w:pPr>
      <w:r>
        <w:rPr>
          <w:rFonts w:ascii="Times New Roman" w:hAnsi="Times New Roman"/>
          <w:b w:val="0"/>
          <w:i w:val="0"/>
          <w:sz w:val="28"/>
        </w:rPr>
        <w:t>• Thứ tự căn cứ: Luật trước, Thông tư sau, đúng thứ bậc văn bản.</w:t>
      </w:r>
    </w:p>
    <w:p>
      <w:pPr>
        <w:spacing w:after="60" w:line="276" w:lineRule="auto"/>
        <w:jc w:val="both"/>
      </w:pPr>
      <w:r>
        <w:rPr>
          <w:rFonts w:ascii="Times New Roman" w:hAnsi="Times New Roman"/>
          <w:b w:val="0"/>
          <w:i w:val="0"/>
          <w:sz w:val="28"/>
        </w:rPr>
        <w:t>• Logic nội bộ đã kiểm tra và khớp: cột đánh số (1)–(12); 29 STT liên tục; điểm chấm — hệ số — mức độ khó đồng nhất; trình tự STT 3 → 4, 5, 11 (hạn 30/10/2026 trước tháng 11/2026 và 12/4/2027); STT 6 → 5; STT 12 → 11; STT 21 ↔ 22 → 23 nhất quán; mốc báo cáo 15/01/2027 đứng sau thời điểm có hiệu lực; sơ kết Quý IV/2027 phù hợp một năm triển khai; đoạn kết khớp Nơi nhận (Sở Giáo dục và Đào tạo báo cáo) với STT 28, 29.</w:t>
      </w:r>
    </w:p>
    <w:p>
      <w:pPr>
        <w:spacing w:before="200" w:after="80"/>
      </w:pPr>
      <w:r>
        <w:rPr>
          <w:rFonts w:ascii="Times New Roman" w:hAnsi="Times New Roman"/>
          <w:b/>
          <w:i w:val="0"/>
          <w:color w:val="7030A0"/>
          <w:sz w:val="28"/>
        </w:rPr>
        <w:t>PHẦN IV. BẢNG TỔNG HỢP</w:t>
      </w:r>
    </w:p>
    <w:p>
      <w:pPr>
        <w:spacing w:before="80" w:after="40"/>
      </w:pPr>
      <w:r>
        <w:rPr>
          <w:rFonts w:ascii="Times New Roman" w:hAnsi="Times New Roman"/>
          <w:b/>
          <w:i/>
          <w:sz w:val="28"/>
        </w:rPr>
        <w:t>Bảng 1. Số vấn đề theo nhóm nội dung (II.A)</w:t>
      </w:r>
    </w:p>
    <w:tbl>
      <w:tblPr>
        <w:tblStyle w:val="TableGrid"/>
        <w:tblW w:type="auto" w:w="0"/>
        <w:jc w:val="center"/>
        <w:tblLayout w:type="fixed"/>
        <w:tblLook w:firstColumn="1" w:firstRow="1" w:lastColumn="0" w:lastRow="0" w:noHBand="0" w:noVBand="1" w:val="04A0"/>
      </w:tblPr>
      <w:tblGrid>
        <w:gridCol w:w="6804"/>
        <w:gridCol w:w="2268"/>
      </w:tblGrid>
      <w:tr>
        <w:trPr>
          <w:cantSplit w:val="0"/>
          <w:tblHeader w:val="1"/>
        </w:trPr>
        <w:tc>
          <w:tcPr>
            <w:tcW w:type="dxa" w:w="6803"/>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NHÓM NỘI DUNG</w:t>
            </w:r>
          </w:p>
        </w:tc>
        <w:tc>
          <w:tcPr>
            <w:tcW w:type="dxa" w:w="226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SỐ VẤN ĐỀ</w:t>
            </w:r>
          </w:p>
        </w:tc>
      </w:tr>
      <w:tr>
        <w:trPr>
          <w:cantSplit w:val="0"/>
        </w:trPr>
        <w:tc>
          <w:tcPr>
            <w:tcW w:type="dxa" w:w="6803"/>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Thể thức</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w:t>
            </w:r>
          </w:p>
        </w:tc>
      </w:tr>
      <w:tr>
        <w:trPr>
          <w:cantSplit w:val="0"/>
        </w:trPr>
        <w:tc>
          <w:tcPr>
            <w:tcW w:type="dxa" w:w="6803"/>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Nội dung</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6</w:t>
            </w:r>
          </w:p>
        </w:tc>
      </w:tr>
      <w:tr>
        <w:trPr>
          <w:cantSplit w:val="0"/>
        </w:trPr>
        <w:tc>
          <w:tcPr>
            <w:tcW w:type="dxa" w:w="6803"/>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Điều khoản bắt buộc</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r>
      <w:tr>
        <w:trPr>
          <w:cantSplit w:val="0"/>
        </w:trPr>
        <w:tc>
          <w:tcPr>
            <w:tcW w:type="dxa" w:w="6803"/>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Chất lượng soạn thảo</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4</w:t>
            </w:r>
          </w:p>
        </w:tc>
      </w:tr>
      <w:tr>
        <w:trPr>
          <w:cantSplit w:val="0"/>
        </w:trPr>
        <w:tc>
          <w:tcPr>
            <w:tcW w:type="dxa" w:w="6803"/>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Tổng cộng</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11</w:t>
            </w:r>
          </w:p>
        </w:tc>
      </w:tr>
    </w:tbl>
    <w:p>
      <w:pPr>
        <w:spacing w:after="40"/>
      </w:pPr>
    </w:p>
    <w:p>
      <w:pPr>
        <w:spacing w:before="80" w:after="40"/>
      </w:pPr>
      <w:r>
        <w:rPr>
          <w:rFonts w:ascii="Times New Roman" w:hAnsi="Times New Roman"/>
          <w:b/>
          <w:i/>
          <w:sz w:val="28"/>
        </w:rPr>
        <w:t>Bảng 2. Số vấn đề theo mức độ (II.A)</w:t>
      </w:r>
    </w:p>
    <w:tbl>
      <w:tblPr>
        <w:tblStyle w:val="TableGrid"/>
        <w:tblW w:type="auto" w:w="0"/>
        <w:jc w:val="center"/>
        <w:tblLayout w:type="fixed"/>
        <w:tblLook w:firstColumn="1" w:firstRow="1" w:lastColumn="0" w:lastRow="0" w:noHBand="0" w:noVBand="1" w:val="04A0"/>
      </w:tblPr>
      <w:tblGrid>
        <w:gridCol w:w="6804"/>
        <w:gridCol w:w="2268"/>
      </w:tblGrid>
      <w:tr>
        <w:trPr>
          <w:cantSplit w:val="0"/>
          <w:tblHeader w:val="1"/>
        </w:trPr>
        <w:tc>
          <w:tcPr>
            <w:tcW w:type="dxa" w:w="6803"/>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 ĐỘ</w:t>
            </w:r>
          </w:p>
        </w:tc>
        <w:tc>
          <w:tcPr>
            <w:tcW w:type="dxa" w:w="226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SỐ VẤN ĐỀ</w:t>
            </w:r>
          </w:p>
        </w:tc>
      </w:tr>
      <w:tr>
        <w:trPr>
          <w:cantSplit w:val="0"/>
        </w:trPr>
        <w:tc>
          <w:tcPr>
            <w:tcW w:type="dxa" w:w="6803"/>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1 – Bắt buộc sửa</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r>
      <w:tr>
        <w:trPr>
          <w:cantSplit w:val="0"/>
        </w:trPr>
        <w:tc>
          <w:tcPr>
            <w:tcW w:type="dxa" w:w="6803"/>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 – Cần sửa</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r>
      <w:tr>
        <w:trPr>
          <w:cantSplit w:val="0"/>
        </w:trPr>
        <w:tc>
          <w:tcPr>
            <w:tcW w:type="dxa" w:w="6803"/>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 – Nên sửa</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6</w:t>
            </w:r>
          </w:p>
        </w:tc>
      </w:tr>
      <w:tr>
        <w:trPr>
          <w:cantSplit w:val="0"/>
        </w:trPr>
        <w:tc>
          <w:tcPr>
            <w:tcW w:type="dxa" w:w="6803"/>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 – Góp ý nâng cao</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5</w:t>
            </w:r>
          </w:p>
        </w:tc>
      </w:tr>
      <w:tr>
        <w:trPr>
          <w:cantSplit w:val="0"/>
        </w:trPr>
        <w:tc>
          <w:tcPr>
            <w:tcW w:type="dxa" w:w="6803"/>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Tổng cộng</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11</w:t>
            </w:r>
          </w:p>
        </w:tc>
      </w:tr>
    </w:tbl>
    <w:p>
      <w:pPr>
        <w:spacing w:after="40"/>
      </w:pPr>
    </w:p>
    <w:p>
      <w:pPr>
        <w:spacing w:after="60" w:line="276" w:lineRule="auto"/>
        <w:jc w:val="both"/>
      </w:pPr>
      <w:r>
        <w:rPr>
          <w:rFonts w:ascii="Times New Roman" w:hAnsi="Times New Roman"/>
          <w:b w:val="0"/>
          <w:i/>
          <w:sz w:val="28"/>
        </w:rPr>
        <w:t>Bốn nội dung ở II.B (chưa xác minh) không tính vào hai bảng trên.</w:t>
      </w:r>
    </w:p>
    <w:p>
      <w:pPr>
        <w:spacing w:before="200" w:after="80"/>
      </w:pPr>
      <w:r>
        <w:rPr>
          <w:rFonts w:ascii="Times New Roman" w:hAnsi="Times New Roman"/>
          <w:b/>
          <w:i w:val="0"/>
          <w:color w:val="7030A0"/>
          <w:sz w:val="28"/>
        </w:rPr>
        <w:t>PHẦN V. THẨM ĐỊNH CHUYÊN MÔN</w:t>
      </w:r>
    </w:p>
    <w:p>
      <w:pPr>
        <w:spacing w:after="60" w:line="276" w:lineRule="auto"/>
        <w:jc w:val="both"/>
      </w:pPr>
      <w:r>
        <w:rPr>
          <w:rFonts w:ascii="Times New Roman" w:hAnsi="Times New Roman"/>
          <w:b w:val="0"/>
          <w:i/>
          <w:sz w:val="28"/>
        </w:rPr>
        <w:t>Phần này được kích hoạt vì dự thảo có nội dung về tuyển sinh liên kết, chương trình đào tạo, điều kiện cơ sở vật chất, thiết bị và thang điểm chấm công việc.</w:t>
      </w:r>
    </w:p>
    <w:p>
      <w:pPr>
        <w:spacing w:after="60" w:line="276" w:lineRule="auto"/>
        <w:jc w:val="both"/>
      </w:pPr>
      <w:r>
        <w:rPr>
          <w:rFonts w:ascii="Times New Roman" w:hAnsi="Times New Roman"/>
          <w:b w:val="0"/>
          <w:i w:val="0"/>
          <w:sz w:val="28"/>
        </w:rPr>
        <w:t>• Phạm vi thẩm định: chỉ kiểm tra logic nội bộ (khớp điểm chấm với hệ số, khớp tham chiếu giữa các STT, khớp mốc thời gian, khớp đơn vị và sản phẩm).</w:t>
      </w:r>
    </w:p>
    <w:p>
      <w:pPr>
        <w:spacing w:after="60" w:line="276" w:lineRule="auto"/>
        <w:jc w:val="both"/>
      </w:pPr>
      <w:r>
        <w:rPr>
          <w:rFonts w:ascii="Times New Roman" w:hAnsi="Times New Roman"/>
          <w:b w:val="0"/>
          <w:i w:val="0"/>
          <w:sz w:val="28"/>
        </w:rPr>
        <w:t>• Giới hạn năng lực thẩm định: không thẩm định tính đúng đắn của nội dung các điều khoản Thông tư 72 mà Kế hoạch viện dẫn; không thẩm định tính hợp lý của thang điểm 120/150 và hệ số 1,2/1,5; không thẩm định tính khả thi của hạn hoàn thành đối với từng đơn vị.</w:t>
      </w:r>
    </w:p>
    <w:p>
      <w:pPr>
        <w:spacing w:after="60" w:line="276" w:lineRule="auto"/>
        <w:jc w:val="both"/>
      </w:pPr>
      <w:r>
        <w:rPr>
          <w:rFonts w:ascii="Times New Roman" w:hAnsi="Times New Roman"/>
          <w:b w:val="0"/>
          <w:i w:val="0"/>
          <w:sz w:val="28"/>
        </w:rPr>
        <w:t>• Kết quả đối chiếu với văn bản chuyên ngành: chưa thực hiện được vì không có Thông tư 72 và các văn bản của Bộ Giáo dục và Đào tạo trong hồ sơ (xem II.B).</w:t>
      </w:r>
    </w:p>
    <w:p>
      <w:pPr>
        <w:spacing w:after="60" w:line="276" w:lineRule="auto"/>
        <w:jc w:val="both"/>
      </w:pPr>
      <w:r>
        <w:rPr>
          <w:rFonts w:ascii="Times New Roman" w:hAnsi="Times New Roman"/>
          <w:b w:val="0"/>
          <w:i w:val="0"/>
          <w:sz w:val="28"/>
        </w:rPr>
        <w:t>• Đề nghị thẩm định bổ sung: phòng Quản lý Đào tạo và Bảo đảm chất lượng và phòng Quản lý khoa học công nghệ và Hợp tác phát triển (đối chiếu điều khoản Thông tư 72 và phân công); phòng Tài chính - Kế toán (các nội dung liên quan tài sản công, học phí, chế độ hỗ trợ ở STT 6, 17); phòng Tổ chức cán bộ và Công tác học sinh - sinh viên (thang điểm, hệ số và thủ tục thành lập đơn vị ở STT 23).</w:t>
      </w:r>
    </w:p>
    <w:p>
      <w:pPr>
        <w:spacing w:before="200" w:after="80"/>
      </w:pPr>
      <w:r>
        <w:rPr>
          <w:rFonts w:ascii="Times New Roman" w:hAnsi="Times New Roman"/>
          <w:b/>
          <w:i w:val="0"/>
          <w:color w:val="7030A0"/>
          <w:sz w:val="28"/>
        </w:rPr>
        <w:t>PHẦN VI. ĐÁNH GIÁ TỔNG THỂ</w:t>
      </w:r>
    </w:p>
    <w:p>
      <w:pPr>
        <w:spacing w:after="60" w:line="276" w:lineRule="auto"/>
        <w:jc w:val="both"/>
      </w:pPr>
      <w:r>
        <w:rPr>
          <w:rFonts w:ascii="Times New Roman" w:hAnsi="Times New Roman"/>
          <w:b w:val="0"/>
          <w:i w:val="0"/>
          <w:sz w:val="28"/>
        </w:rPr>
        <w:t>1. Mức độ tuân thủ pháp luật: Đạt có điều kiện. Trong phạm vi đã kiểm tra không phát hiện vấn đề Mức 1 hoặc Mức 2. Tuy vậy toàn bộ viện dẫn Thông tư 72 và Luật Giáo dục nghề nghiệp (II.B, mục 1–2) chưa được xác minh nên chưa thể kết luận "Đạt" đầy đủ; điều kiện là đơn vị soạn thảo hoàn tất việc đối chiếu này.</w:t>
      </w:r>
    </w:p>
    <w:p>
      <w:pPr>
        <w:spacing w:after="60" w:line="276" w:lineRule="auto"/>
        <w:jc w:val="both"/>
      </w:pPr>
      <w:r>
        <w:rPr>
          <w:rFonts w:ascii="Times New Roman" w:hAnsi="Times New Roman"/>
          <w:b w:val="0"/>
          <w:i w:val="0"/>
          <w:sz w:val="28"/>
        </w:rPr>
        <w:t>2. Mức độ sẵn sàng phát hành: Cần chỉnh sửa trước khi trình ký. Lý do: còn 6 vấn đề Mức 3 (trong đó đáng chú ý là STT 20 lệch sản phẩm, phân công hai đơn vị chủ trì ở STT 3, 4, 26, 27 và bảng vượt vùng trình bày) và 4 nội dung chưa xác minh ở II.B.</w:t>
      </w:r>
    </w:p>
    <w:p>
      <w:pPr>
        <w:spacing w:before="200" w:after="80"/>
      </w:pPr>
      <w:r>
        <w:rPr>
          <w:rFonts w:ascii="Times New Roman" w:hAnsi="Times New Roman"/>
          <w:b/>
          <w:i w:val="0"/>
          <w:color w:val="7030A0"/>
          <w:sz w:val="28"/>
        </w:rPr>
        <w:t>PHẦN VII. KẾT LUẬN VÀ THỨ TỰ XỬ LÝ</w:t>
      </w:r>
    </w:p>
    <w:p>
      <w:pPr>
        <w:spacing w:before="80" w:after="40"/>
      </w:pPr>
      <w:r>
        <w:rPr>
          <w:rFonts w:ascii="Times New Roman" w:hAnsi="Times New Roman"/>
          <w:b/>
          <w:i/>
          <w:sz w:val="28"/>
        </w:rPr>
        <w:t>Ưu điểm nổi bật</w:t>
      </w:r>
    </w:p>
    <w:p>
      <w:pPr>
        <w:spacing w:after="60" w:line="276" w:lineRule="auto"/>
        <w:jc w:val="both"/>
      </w:pPr>
      <w:r>
        <w:rPr>
          <w:rFonts w:ascii="Times New Roman" w:hAnsi="Times New Roman"/>
          <w:b w:val="0"/>
          <w:i w:val="0"/>
          <w:sz w:val="28"/>
        </w:rPr>
        <w:t>Thể thức chuẩn, bám sát quy ước TB 597 (cỡ chữ, ký hiệu, nơi nhận, số trang). Bảng nhiệm vụ đầy đủ các cột, có đơn vị chủ trì, phối hợp, sản phẩm, mốc thời gian; các tham chiếu chéo giữa STT, điểm chấm và hệ số nhất quán; bám theo từng điều của Thông tư 72 nên dễ truy vết.</w:t>
      </w:r>
    </w:p>
    <w:p>
      <w:pPr>
        <w:spacing w:before="80" w:after="40"/>
      </w:pPr>
      <w:r>
        <w:rPr>
          <w:rFonts w:ascii="Times New Roman" w:hAnsi="Times New Roman"/>
          <w:b/>
          <w:i/>
          <w:sz w:val="28"/>
        </w:rPr>
        <w:t>Tồn tại chính cần xử lý, theo thứ tự ưu tiên</w:t>
      </w:r>
    </w:p>
    <w:p>
      <w:pPr>
        <w:spacing w:after="60" w:line="276" w:lineRule="auto"/>
        <w:jc w:val="both"/>
      </w:pPr>
      <w:r>
        <w:rPr>
          <w:rFonts w:ascii="Times New Roman" w:hAnsi="Times New Roman"/>
          <w:b w:val="0"/>
          <w:i w:val="0"/>
          <w:sz w:val="28"/>
        </w:rPr>
        <w:t>1. Đối chiếu toàn bộ viện dẫn điều, khoản, thời hạn của Thông tư 72 và Luật Giáo dục nghề nghiệp với toàn văn (II.B mục 1–2) — việc bắt buộc trước khi trình ký.</w:t>
      </w:r>
    </w:p>
    <w:p>
      <w:pPr>
        <w:spacing w:after="60" w:line="276" w:lineRule="auto"/>
        <w:jc w:val="both"/>
      </w:pPr>
      <w:r>
        <w:rPr>
          <w:rFonts w:ascii="Times New Roman" w:hAnsi="Times New Roman"/>
          <w:b w:val="0"/>
          <w:i w:val="0"/>
          <w:sz w:val="28"/>
        </w:rPr>
        <w:t>2. Chỉ định một đơn vị chủ trì tổng hợp cho STT 3, 4, 26, 27 (II.A mục 3).</w:t>
      </w:r>
    </w:p>
    <w:p>
      <w:pPr>
        <w:spacing w:after="60" w:line="276" w:lineRule="auto"/>
        <w:jc w:val="both"/>
      </w:pPr>
      <w:r>
        <w:rPr>
          <w:rFonts w:ascii="Times New Roman" w:hAnsi="Times New Roman"/>
          <w:b w:val="0"/>
          <w:i w:val="0"/>
          <w:sz w:val="28"/>
        </w:rPr>
        <w:t>3. Sửa STT 20 cho khớp công việc với sản phẩm (II.A mục 2) và ấn định mốc thời gian cho STT 13, 16–18 (II.A mục 4).</w:t>
      </w:r>
    </w:p>
    <w:p>
      <w:pPr>
        <w:spacing w:after="60" w:line="276" w:lineRule="auto"/>
        <w:jc w:val="both"/>
      </w:pPr>
      <w:r>
        <w:rPr>
          <w:rFonts w:ascii="Times New Roman" w:hAnsi="Times New Roman"/>
          <w:b w:val="0"/>
          <w:i w:val="0"/>
          <w:sz w:val="28"/>
        </w:rPr>
        <w:t>4. Bổ sung mục đích, yêu cầu và phần tổ chức thực hiện (II.A mục 1).</w:t>
      </w:r>
    </w:p>
    <w:p>
      <w:pPr>
        <w:spacing w:after="60" w:line="276" w:lineRule="auto"/>
        <w:jc w:val="both"/>
      </w:pPr>
      <w:r>
        <w:rPr>
          <w:rFonts w:ascii="Times New Roman" w:hAnsi="Times New Roman"/>
          <w:b w:val="0"/>
          <w:i w:val="0"/>
          <w:sz w:val="28"/>
        </w:rPr>
        <w:t>5. Co độ rộng bảng về không quá 24,7 cm (II.A mục 7); rút gọn viện dẫn lặp (II.A mục 8).</w:t>
      </w:r>
    </w:p>
    <w:p>
      <w:pPr>
        <w:spacing w:after="60" w:line="276" w:lineRule="auto"/>
        <w:jc w:val="both"/>
      </w:pPr>
      <w:r>
        <w:rPr>
          <w:rFonts w:ascii="Times New Roman" w:hAnsi="Times New Roman"/>
          <w:b w:val="0"/>
          <w:i w:val="0"/>
          <w:sz w:val="28"/>
        </w:rPr>
        <w:t>6. Xử lý các góp ý Mức 4 khi có điều kiện (II.A mục 5, 6, 9, 10, 11).</w:t>
      </w:r>
    </w:p>
    <w:p>
      <w:pPr>
        <w:spacing w:before="80" w:after="40"/>
      </w:pPr>
      <w:r>
        <w:rPr>
          <w:rFonts w:ascii="Times New Roman" w:hAnsi="Times New Roman"/>
          <w:b/>
          <w:i/>
          <w:sz w:val="28"/>
        </w:rPr>
        <w:t>Mức độ rủi ro nếu không chỉnh sửa</w:t>
      </w:r>
    </w:p>
    <w:p>
      <w:pPr>
        <w:spacing w:after="60" w:line="276" w:lineRule="auto"/>
        <w:jc w:val="both"/>
      </w:pPr>
      <w:r>
        <w:rPr>
          <w:rFonts w:ascii="Times New Roman" w:hAnsi="Times New Roman"/>
          <w:b w:val="0"/>
          <w:i w:val="0"/>
          <w:sz w:val="28"/>
        </w:rPr>
        <w:t>Mức 3: Kế hoạch vẫn ban hành được nhưng dễ phát sinh tranh chấp trách nhiệm ở các nhiệm vụ có hai đơn vị chủ trì, khó theo dõi tiến độ ở nhiệm vụ không có mốc ngày. Chưa xác minh viện dẫn: nếu có điều, khoản hoặc thời hạn sai so với Thông tư 72, Kế hoạch sẽ giao nhiệm vụ sai căn cứ. Mức 4: không ảnh hưởng hiệu lực.</w:t>
      </w:r>
    </w:p>
    <w:p>
      <w:pPr>
        <w:spacing w:before="80" w:after="40"/>
      </w:pPr>
      <w:r>
        <w:rPr>
          <w:rFonts w:ascii="Times New Roman" w:hAnsi="Times New Roman"/>
          <w:b/>
          <w:i/>
          <w:sz w:val="28"/>
        </w:rPr>
        <w:t>Kiến nghị chung</w:t>
      </w:r>
    </w:p>
    <w:p>
      <w:pPr>
        <w:spacing w:after="60" w:line="276" w:lineRule="auto"/>
        <w:jc w:val="both"/>
      </w:pPr>
      <w:r>
        <w:rPr>
          <w:rFonts w:ascii="Times New Roman" w:hAnsi="Times New Roman"/>
          <w:b w:val="0"/>
          <w:i w:val="0"/>
          <w:sz w:val="28"/>
        </w:rPr>
        <w:t>Phòng Quản lý Đào tạo và Bảo đảm chất lượng phối hợp phòng Quản lý khoa học công nghệ và Hợp tác phát triển rà lại phân công; bộ phận pháp chế hoặc người có thẩm quyền xác minh viện dẫn. Khi kho 01-04 được kết nối hoặc có tệp Thông tư 72, TB 597 và mẫu Kế hoạch, nên chạy lại rà soát để hoàn thiện Phần II.B.</w:t>
      </w:r>
    </w:p>
    <w:p>
      <w:pPr>
        <w:spacing w:before="200" w:after="80"/>
      </w:pPr>
      <w:r>
        <w:rPr>
          <w:rFonts w:ascii="Times New Roman" w:hAnsi="Times New Roman"/>
          <w:b/>
          <w:i w:val="0"/>
          <w:color w:val="7030A0"/>
          <w:sz w:val="28"/>
        </w:rPr>
        <w:t>KIỂM TRA CHẤT LƯỢNG CUỐI CÙNG</w:t>
      </w:r>
    </w:p>
    <w:p>
      <w:pPr>
        <w:spacing w:after="60" w:line="276" w:lineRule="auto"/>
        <w:jc w:val="both"/>
      </w:pPr>
      <w:r>
        <w:rPr>
          <w:rFonts w:ascii="Times New Roman" w:hAnsi="Times New Roman"/>
          <w:b w:val="0"/>
          <w:i w:val="0"/>
          <w:sz w:val="28"/>
        </w:rPr>
        <w:t>• Đã rà soát đủ 4 nhóm tiêu chí (Thể thức, Nội dung, Điều khoản bắt buộc, Chất lượng soạn thảo); nhóm Điều khoản bắt buộc không phát hiện vấn đề trong phạm vi checklist đóng gói.</w:t>
      </w:r>
    </w:p>
    <w:p>
      <w:pPr>
        <w:spacing w:after="60" w:line="276" w:lineRule="auto"/>
        <w:jc w:val="both"/>
      </w:pPr>
      <w:r>
        <w:rPr>
          <w:rFonts w:ascii="Times New Roman" w:hAnsi="Times New Roman"/>
          <w:b w:val="0"/>
          <w:i w:val="0"/>
          <w:sz w:val="28"/>
        </w:rPr>
        <w:t>• Chưa có báo cáo rà soát hay giải trình tiếp thu trước đó nên chưa đối chiếu được nội dung đã tiếp thu.</w:t>
      </w:r>
    </w:p>
    <w:p>
      <w:pPr>
        <w:spacing w:after="60" w:line="276" w:lineRule="auto"/>
        <w:jc w:val="both"/>
      </w:pPr>
      <w:r>
        <w:rPr>
          <w:rFonts w:ascii="Times New Roman" w:hAnsi="Times New Roman"/>
          <w:b w:val="0"/>
          <w:i w:val="0"/>
          <w:sz w:val="28"/>
        </w:rPr>
        <w:t>• Đã tách riêng lỗi (II.A), nội dung chưa đủ căn cứ (II.B) và nội dung đạt (Phần III). Không có Phần VIII vì người dùng không yêu cầu.</w:t>
      </w:r>
    </w:p>
    <w:p>
      <w:pPr>
        <w:spacing w:after="60" w:line="276" w:lineRule="auto"/>
        <w:jc w:val="both"/>
      </w:pPr>
      <w:r>
        <w:rPr>
          <w:rFonts w:ascii="Times New Roman" w:hAnsi="Times New Roman"/>
          <w:b w:val="0"/>
          <w:i w:val="0"/>
          <w:sz w:val="28"/>
        </w:rPr>
        <w:t>• Đã ghi rõ các nội dung chưa đủ căn cứ kết luận: viện dẫn Thông tư 72 và Luật Giáo dục nghề nghiệp, thang điểm công việc, mẫu và quy chế nội bộ.</w:t>
      </w:r>
    </w:p>
    <w:p>
      <w:pPr>
        <w:spacing w:after="60" w:line="276" w:lineRule="auto"/>
        <w:jc w:val="both"/>
      </w:pPr>
      <w:r>
        <w:rPr>
          <w:rFonts w:ascii="Times New Roman" w:hAnsi="Times New Roman"/>
          <w:b w:val="0"/>
          <w:i w:val="0"/>
          <w:sz w:val="28"/>
        </w:rPr>
        <w:t>• Không có hai dòng trùng một vấn đề; các kiến nghị không mâu thuẫn nhau.</w:t>
      </w:r>
    </w:p>
    <w:p>
      <w:pPr>
        <w:spacing w:after="60" w:line="276" w:lineRule="auto"/>
        <w:jc w:val="both"/>
      </w:pPr>
      <w:r>
        <w:rPr>
          <w:rFonts w:ascii="Times New Roman" w:hAnsi="Times New Roman"/>
          <w:b w:val="0"/>
          <w:i w:val="0"/>
          <w:sz w:val="28"/>
        </w:rPr>
        <w:t>• Quy mô: đã rà toàn bộ 29 STT, không giới hạn phạm vi. Đã kiểm tra định dạng từ XML thật của tệp .docx. Chưa đối chiếu được kho 01-04 nên kết quả có độ tin cậy hạn chế.</w:t>
      </w:r>
    </w:p>
    <w:p>
      <w:pPr>
        <w:spacing w:before="200" w:after="80"/>
      </w:pPr>
      <w:r>
        <w:rPr>
          <w:rFonts w:ascii="Times New Roman" w:hAnsi="Times New Roman"/>
          <w:b/>
          <w:i w:val="0"/>
          <w:color w:val="7030A0"/>
          <w:sz w:val="28"/>
        </w:rPr>
        <w:t>THÔNG TIN TRÁCH NHIỆM</w:t>
      </w:r>
    </w:p>
    <w:tbl>
      <w:tblPr>
        <w:tblStyle w:val="TableGrid"/>
        <w:tblW w:type="auto" w:w="0"/>
        <w:jc w:val="center"/>
        <w:tblLayout w:type="fixed"/>
        <w:tblLook w:firstColumn="1" w:firstRow="1" w:lastColumn="0" w:lastRow="0" w:noHBand="0" w:noVBand="1" w:val="04A0"/>
      </w:tblPr>
      <w:tblGrid>
        <w:gridCol w:w="2778"/>
        <w:gridCol w:w="11680"/>
      </w:tblGrid>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Nguồn dữ liệu đã dùng</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Tệp đầu vào Ke_hoach_trien_khai_Thong_tu_so_72__02-10-2026_.docx; checklist và skill đóng gói trong hệ (Checklist 01, 05, 07, 08; Skill 28; Prompt rà soát Kế hoạch). Chưa đối chiếu kho 01-04 (không tìm thấy tệp trên Google Drive) và chưa xác minh nguồn bên ngoài · Công cụ hỗ trợ: Hệ KTC-Ra-Soat-897-v2-Cai-tien (Skill ktc-ra-soat-897, v2.25), chạy ngày 02/10/2026.</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Người kiểm tra</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[CẦN ĐIỀN TÊN VÀ CHỨC DANH NGƯỜI XÁC NHẬN] chịu trách nhiệm xác nhận kết quả.</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Trạng thái phê duyệt</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color w:val="C00000"/>
                <w:sz w:val="26"/>
              </w:rPr>
              <w:t>BẢN NHÁP – Kết quả AI chỉ có giá trị tham khảo. Cần phê duyệt chính thức trước khi dùng.</w:t>
            </w:r>
          </w:p>
        </w:tc>
      </w:tr>
    </w:tbl>
    <w:p>
      <w:pPr>
        <w:spacing w:after="40"/>
      </w:pPr>
    </w:p>
    <w:sectPr w:rsidR="00FC693F" w:rsidRPr="0006063C" w:rsidSect="00034616">
      <w:footerReference w:type="default" r:id="rId9"/>
      <w:pgSz w:w="16838" w:h="11906"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646464"/>
        <w:sz w:val="20"/>
      </w:rPr>
      <w:t xml:space="preserve">Hệ KTC-Ra-Soat-897-v2-Cai-tien (Skill ktc-ra-soat-897, phiên bản v2.25)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3922</Words>
  <Characters>14324</Characters>
  <Application>Microsoft Macintosh Word</Application>
  <DocSecurity>0</DocSecurity>
  <Lines>0</Lines>
  <Paragraphs>220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