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ĐỀ ÁN THÀNH LẬP TRUNG TÂM ĐĂNG KIỂM XE CƠ GIỚI TRỰC THUỘC TRƯỜNG CAO ĐẲNG KON TUM (BẢN SẠCH SAU THẨM ĐỊNH LẦN 3)</w:t>
      </w:r>
    </w:p>
    <w:p>
      <w:pPr>
        <w:jc w:val="center"/>
      </w:pPr>
      <w:r>
        <w:rPr>
          <w:rFonts w:ascii="Times New Roman" w:hAnsi="Times New Roman"/>
          <w:b w:val="0"/>
          <w:i w:val="0"/>
          <w:sz w:val="26"/>
        </w:rPr>
        <w:t xml:space="preserve">Ngày rà soát: </w:t>
      </w:r>
      <w:r>
        <w:rPr>
          <w:rFonts w:ascii="Times New Roman" w:hAnsi="Times New Roman"/>
          <w:b/>
          <w:i w:val="0"/>
          <w:sz w:val="26"/>
        </w:rPr>
        <w:t>24/10/2026</w:t>
      </w:r>
      <w:r>
        <w:rPr>
          <w:rFonts w:ascii="Times New Roman" w:hAnsi="Times New Roman"/>
          <w:b w:val="0"/>
          <w:i w:val="0"/>
          <w:sz w:val="26"/>
        </w:rPr>
        <w:t xml:space="preserve">  |  Đơn vị soạn thảo: </w:t>
      </w:r>
      <w:r>
        <w:rPr>
          <w:rFonts w:ascii="Times New Roman" w:hAnsi="Times New Roman"/>
          <w:b/>
          <w:i w:val="0"/>
          <w:sz w:val="26"/>
        </w:rPr>
        <w:t>Phòng Tổng hợp - Hành chính và Quản trị (Tổ xây dựng Đề án)</w:t>
      </w:r>
      <w:r>
        <w:rPr>
          <w:rFonts w:ascii="Times New Roman" w:hAnsi="Times New Roman"/>
          <w:b w:val="0"/>
          <w:i w:val="0"/>
          <w:sz w:val="26"/>
        </w:rPr>
        <w:t xml:space="preserve">  |  Thẩm quyền: </w:t>
      </w:r>
      <w:r>
        <w:rPr>
          <w:rFonts w:ascii="Times New Roman" w:hAnsi="Times New Roman"/>
          <w:b/>
          <w:i w:val="0"/>
          <w:sz w:val="26"/>
        </w:rPr>
        <w:t>Hiệu trưởng ký Tờ trình, Báo cáo, Công văn; Chủ tịch UBND tỉnh ký Quyết định, Công văn xin ý kiến Bộ</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Hành chính nhà nước (NĐ 30/2020/NĐ-CP, Phụ lục I; TB 597/TB-CĐKT; Checklist 01–05, 07, 08). Căn cứ: Cả 6 văn bản là văn bản hành chính của Trường hoặc dự thảo văn bản hành chính của UBND tỉnh (quyết định cá biệt, công văn); ký hiệu không chứa năm, không phải VBQPPL; không có văn bản Đảng, đoàn thể.</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Tờ trình; Quyết định cá biệt (dự thảo của UBND tỉnh); Báo cáo; Công văn (02 văn bản: 01 của UBND tỉnh, 01 của Trường).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(Đề án, Tờ trình, Báo cáo, Công văn của Trường); UBND tỉnh Quảng Ngãi (dự thảo Quyết định, dự thảo Công văn xin ý kiến Bộ Tài chính, Bộ Nội vụ).</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sạch (đã chấp nhận toàn bộ thay đổi) ngày 24/10/2026; kho KTC-Database 01–05 đọc trực tiếp tại H:\My Drive\KTC-Database (2.460 tệp được đối chiếu tên, đọc nội dung các văn bản nêu tại mục Thông tin trách nhiệm).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Hình thức phát hành: Văn bản điện tử ký số (không bắt lỗi thiếu số, ngày, dòng "kèm theo"). Không dùng các báo cáo thẩm định AI lần 1–3 làm căn cứ. Phạm vi tài chính: Chỉ kiểm logic nội bộ (khớp tổng, tỷ lệ, bảng – lời văn), không thẩm định định mức, đơn giá.</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24/10/2026. Văn bản viện dẫn chưa có trong kho 01–04 (chưa xác minh độc lập): TT 238/2016/TT-BTC (chỉ có VBHN 08/VBHN-BTC năm 2023), NĐ 214/2025/NĐ-CP, NĐ 170/2026/NĐ-CP, QĐ 31/2025/QĐ-UBND, QĐ 335/QĐ-UBND, QĐ 393/QĐ-UBND, QĐ 69/QĐ-UBND, QĐ 1510/QĐ-UBND, NQ 40/2025/NQ-HĐND, CĐ 52/CĐ-TTg, QĐ 788/QĐ-UBND. TT 45/2013/TT-BTC xác minh qua Internet. Ghi nhận ngoài hồ sơ: Tệp "33. Nghị-định-165-2026-NĐ-CP hương dẫn luật phòng bệnh" trong kho 01-04 đặt tên không khớp với NĐ 165/2026/NĐ-CP sửa đổi NĐ 214/2025 (theo Chương I NĐ 349/2026) — đề nghị Phòng TH-HC&amp;QT kiểm tra metadata kho.</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Hồ sơ: Tờ trình và Công văn của Trường đề nghị xin ý kiến Bộ</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văn bản cùng gửi UBND tỉnh, Sở Tài chính, cùng đề nghị UBND tỉnh xin ý kiến Bộ Tài chính, Bộ Nội vụ nhưng không văn bản nào dẫn chiếu văn bản kia; Công văn ghi "đã hoàn thiện hồ sơ Đề án" mà không nêu số, ngày Tờ trình. Nguy cơ cơ quan nhận hiểu là hai đề nghị độc lập, trùng lặp.</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Chọn một trong hai cách: (1) Gửi Công văn kèm Tờ trình và ghi "(Tờ trình số .../TTr-CĐKT ngày ...)" vào đoạn mở đầu Công văn; hoặc (2) không phát hành Công văn riêng, vì đoạn kết và mục VI.5 Tờ trình đã đề nghị xin ý kiến Bộ.</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07 (Công văn: đề nghị cụ thể); Skill 18 (tính thống nhất)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Dự thảo Quyết định: Điều 1 (mục 1, 4, 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chữ viết tắt XCG, ĐKV, UBND, ĐVSNCL trong nội dung mà không viết đầy đủ ở lần đầu; Quyết định không có bảng chữ viết tắt như Đề án.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đầy đủ "xe cơ giới", "đăng kiểm viên", "Ủy ban nhân dân tỉnh", "đơn vị sự nghiệp công lập" trong Quyết định (hoặc viết đầy đủ lần đầu kèm chữ viết tắt trong ngoặc đơn).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Phụ lục I, Phần I mục II (chữ viết tắt)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Tờ trình: Mục III, IV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Cùng lỗi chữ viết tắt XCG (10 lần), ĐKV (5), UBND, ĐVSNCL dùng trong lời văn mà chưa viết đầy đủ ở lần đầu.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đầy đủ lần đầu kèm chữ viết tắt trong ngoặc đơn.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30/2020/NĐ-CP, Phụ lục I</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Đề án: Mục I.2 Phần IV (căn cứ khấu hao)</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Thời gian khấu hao thiết bị kiểm định (10 năm) và thiết bị văn phòng (8 năm) nằm trong khung Phụ lục I TT 45/2013/TT-BTC (5–10 năm; 3–8 năm). Nhà xưởng 10 năm chỉ hợp lệ khi xếp nhóm "nhà cửa khác" (6–25 năm); nếu xếp "nhà cửa kiên cố" thì khung là 25–50 năm. Đề án chưa nêu nhóm. Câu văn còn lặp: "nhà xưởng là 10 năm … (nhà xưởng kiểm định)".</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"nhà xưởng kiểm định (thuộc nhóm nhà cửa khác) là 10 năm – Tỷ lệ khấu hao 10%/năm". Nếu thiết kế là nhà cửa kiên cố, tính lại khấu hao Bảng 20.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45/2013/TT-BTC, Phụ lục I; QĐ 1760/QĐ-BTC ngày 01/7/2026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Đề án: Phần I (2 đoạn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Hai đoạn căn cứ không thụt đầu dòng trong khi các đoạn nội dung có thụt đầu dòng.</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Thụt đầu dòng 1,25 cm, định dạng nghiêng như các đoạn căn cứ khác.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kiem_the_thuc.py TT16; TB 597 mục 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Đề án: Phụ lục trang khổ ngang (phần 9–11)</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Lề trên (phía gáy) 21 mm, trong khi phần 6 (cũng khổ ngang) đặt 30 mm; chưa thống nhất.</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Đặt lề trên 30 mm cho các trang khổ ngang, thống nhất với phần 6.</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_read_input_properties.py; NĐ 30, Phụ lục I</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Viết hoa sau dấu hai chấm</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Chữ đầu sau ":" viết thường: Đề án ("phân kỳ đầu tư: có lãi", "Kiểm soát, hỗ trợ: thẩm định", "Đơn vị tính: triệu đồng", "Năm 6 trở đi: tăng trưởng"); Tờ trình ("có lãi", "ĐVT: triệu đồng"); Quyết định ("có lãi", "ĐVT: triệu đồng", "Kon Tum: chủ trì"); Báo cáo ("đầu tư: giai đoạn", "thiết bị: bổ sung", "xe gắn máy: khu vực", "nghĩa vụ: thuế", "Công ty: nghĩa vụ").</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Viết hoa chữ đầu sau dấu hai chấm tại các vị trí nêu.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2b; TB 597 mục 3.1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Tờ trình: đoạn cuối mục III.2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"…trong khi Nhà trường thực hiện quyền…": "Nhà trường" viết hoa giữa câu.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"nhà trường".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Dự thảo Quyết định: căn cứ thứ nhất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Luật Tổ chức chính quyền địa phương ngày 16/6/2025;" ghi ngày dạng số, khác các dòng căn cứ còn lại ("ngày … tháng … năm …").</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Sửa thành "ngày 16 tháng 6 năm 2025".</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30, Phụ lục I (căn cứ ban hành)</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Tờ trình: căn cứ TT 238/2016/TT-BTC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Thừa một dấu cách sau "Căn cứ".</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dấu cách thừa.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Kỹ thuật trình bày</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Đề án, Tờ trình: căn cứ TT 238/2016/TT-BTC; Phụ lục 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40/2025/TT-BXD (hiệu lực 20/01/2026) quy định cơ chế giá mới nhưng không có điều khoản bãi bỏ TT 238/2016/TT-BTC; kho chỉ có VBHN 08/VBHN-BTC (2023). Chưa xác minh được hiệu lực hiện hành của TT 238.</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Xác minh hiệu lực TT 238/2016/TT-BTC trước khi trình; nếu đã hết hiệu lực, bỏ khỏi căn cứ, giữ Phụ lục V với ghi chú "giá tham khảo" (đã có).</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40/2025/TT-BXD, Điều 3, Điều 5 (kho 01)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Đề án: Phụ lục I (Cơ sở 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Diện tích sàn nhà 04 tầng, 03 tầng ghi bằng diện tích đất xây dựng; dòng tổng 19.997,8 m² là toàn khuôn viên. Chưa có hồ sơ tài sản để đối chiếu.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hồ sơ tài sản gốc của Cơ sở 5 và sửa nếu cần.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bảng</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Đề án, Tờ trình: viện dẫn lặp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Một số văn bản (NĐ 60/2021, NĐ 186/2025, TT 56/2022, QĐ 30/QĐ-UBND, QĐ 31/2025/QĐ-UBND, QĐ 46/2025/QĐ-CTUBND, QĐ 393/QĐ-UBND) đã viện dẫn đầy đủ vẫn được ghi đầy đủ ở các lần sau.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Từ lần thứ hai chỉ ghi tên loại và số, ký hiệu.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5.4; kiem_vien_dan.py VD12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Trích yếu (toàn hồ sơ)</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của Trường viết thường chữ đầu trích yếu ("đề nghị…", "tiếp thu…"), thống nhất với văn bản tốt kho 04 (TTr 13/TTr-CĐKT, BC 322/BC-CĐKT); dự thảo Quyết định của UBND tỉnh viết hoa ("Phê duyệt…").</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theo thông lệ của từng cơ quan ban hành; khi UBND tỉnh hoàn thiện Quyết định, áp dụng thể thức của Văn phòng UBND tỉnh.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03-07, 04-07, 04-06</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Tính hợp pháp và thẩm quyền: Điều kiện tiên quyết (chỉ góp vốn, đăng ký doanh nghiệp, sử dụng tài sản công sau khi có ý kiến Bộ Tài chính, Bộ Nội vụ; không dùng kinh phí NSNN chi thường xuyên) thống nhất ở Đề án, Tờ trình, Quyết định, Công văn. Thẩm quyền Hiệu trưởng phê duyệt Đề án sử dụng tài sản công khớp nguyên văn điểm a khoản 7 Điều 7 NĐ 334/2026/NĐ-CP (kho 01). Hạn góp vốn 90 ngày khớp khoản 2 Điều 47 Luật Doanh nghiệp (VBHN 67). Vận hành thử trước khi đề nghị cấp giấy chứng nhận khớp khoản 3 Điều 23 NĐ 89/2026/NĐ-CP. Nguyên tắc người đại diện phần vốn, kiểm soát viên "không là cán bộ, công chức, viên chức" trích đúng khoản 4 Điều 4 NĐ 181/2026/NĐ-CP. Giải trình khấu hao theo chế độ doanh nghiệp khớp điểm a khoản 2 Điều 1 NĐ 178/2026/NĐ-CP và TT 151/2026/TT-BTC.</w:t>
      </w:r>
    </w:p>
    <w:p>
      <w:pPr>
        <w:spacing w:after="60" w:line="276" w:lineRule="auto"/>
        <w:ind w:firstLine="567"/>
        <w:jc w:val="both"/>
      </w:pPr>
      <w:r>
        <w:rPr>
          <w:rFonts w:ascii="Times New Roman" w:hAnsi="Times New Roman"/>
          <w:b w:val="0"/>
          <w:i w:val="0"/>
          <w:sz w:val="28"/>
        </w:rPr>
        <w:t>Hiệu lực viện dẫn: Các văn bản pháp luật chính được viện dẫn đã đối chiếu có trong kho (gồm NĐ 89/2026, 334/2026, 181/2026, 186/2025, 178/2026, 373/2026, 349/2026, 299/2026, 60/2021, 111/2025, 20/2026; TT 40/2025/TT-BXD, 45/2026/TT-BXD, 46/2024, 50/2024, 120/2025/TT-BTC, 151/2026/TT-BTC; QĐ 46/2025/QĐ-CTUBND, QĐ 836/QĐ-UBND, QĐ 224-QĐ/TW; Luật Giáo dục nghề nghiệp 124/2025/QH15...). Chuỗi sửa đổi NĐ 214/2025/NĐ-CP bởi NĐ 165/2026, NĐ 170/2026, NĐ 349/2026 tại Báo cáo tiếp thu mục 4.4 khớp Chương I NĐ 349/2026. Luật được viện dẫn không ghi số hiệu đúng quy ước Trường. kiem_vien_dan.py: 0 lỗi Mức 1–2 ở cả 6 văn bản (VD06 của Quyết định là dương tính giả: căn cứ cuối ghi ";" trước dòng "Theo đề nghị…" đúng mẫu NĐ 30).</w:t>
      </w:r>
    </w:p>
    <w:p>
      <w:pPr>
        <w:spacing w:after="60" w:line="276" w:lineRule="auto"/>
        <w:ind w:firstLine="567"/>
        <w:jc w:val="both"/>
      </w:pPr>
      <w:r>
        <w:rPr>
          <w:rFonts w:ascii="Times New Roman" w:hAnsi="Times New Roman"/>
          <w:b w:val="0"/>
          <w:i w:val="0"/>
          <w:sz w:val="28"/>
        </w:rPr>
        <w:t>Tính thống nhất số liệu: Vốn 20.456,5 triệu đồng; Trường 10.432,82 triệu đồng (51%); nhà đầu tư 10.023,68 triệu đồng (49%); 01 dây chuyền, 14.976 lượt/năm; ngưỡng dây chuyền 2 "khoảng 13.480 lượt/năm, 2 năm liên tiếp"; 11 người tác nghiệp; 8.500 m²; bãi đỗ 2.000 m²; thiết bị 2.820 triệu đồng; dự phòng 2.980 triệu đồng; hoạt động từ Quý III/2028; hoàn vốn khoảng 8,5 năm — khớp giữa Đề án, Tờ trình, Quyết định, Báo cáo, Công văn. Không còn số liệu phương án cũ (22.688,6; 29.952; 15.000 lượt; 4.000 m² bãi đỗ giai đoạn 1; Quỹ phát triển hoạt động sự nghiệp làm nguồn góp).</w:t>
      </w:r>
    </w:p>
    <w:p>
      <w:pPr>
        <w:spacing w:after="60" w:line="276" w:lineRule="auto"/>
        <w:ind w:firstLine="567"/>
        <w:jc w:val="both"/>
      </w:pPr>
      <w:r>
        <w:rPr>
          <w:rFonts w:ascii="Times New Roman" w:hAnsi="Times New Roman"/>
          <w:b w:val="0"/>
          <w:i w:val="0"/>
          <w:sz w:val="28"/>
        </w:rPr>
        <w:t>Cơ chế vốn, quản trị: Đề án, Tờ trình, Quyết định cùng ghi cơ chế quản lý phần vốn "theo hướng dẫn của Bộ Tài chính, Bộ Nội vụ"; Hội đồng thành viên bầu Chủ tịch, bổ nhiệm Kiểm soát viên theo Điều lệ; Sở Nội vụ hướng dẫn việc cử người đại diện phần vốn. Câu hỏi a)–đ) và mục 2 thống nhất giữa dự thảo Công văn UBND và Công văn của Trường.</w:t>
      </w:r>
    </w:p>
    <w:p>
      <w:pPr>
        <w:spacing w:after="60" w:line="276" w:lineRule="auto"/>
        <w:ind w:firstLine="567"/>
        <w:jc w:val="both"/>
      </w:pPr>
      <w:r>
        <w:rPr>
          <w:rFonts w:ascii="Times New Roman" w:hAnsi="Times New Roman"/>
          <w:b w:val="0"/>
          <w:i w:val="0"/>
          <w:sz w:val="28"/>
        </w:rPr>
        <w:t>Thể thức: kiem_the_thuc.py đạt ở Tờ trình, Báo cáo, Công văn của Trường; Quyết định, Công văn UBND chỉ báo TT08, TT17 là dương tính giả (văn bản do UBND tỉnh ban hành, không có dòng "TRƯỜNG CAO ĐẲNG KON TUM"). Lề, khổ giấy, cỡ chữ (_read_input_properties.py) đạt ở 5 văn bản; Đề án đạt, trừ lề trang khổ ngang nêu tại mục 6 Phần II báo cáo này. Kính gửi nhiều nơi trình bày từng dòng (Báo cáo, Công văn của Trường) đúng thông lệ kho 04. Không xuất hiện "đảm bảo"; tên cơ sở "Cơ sở 2: Khoa Kinh tế - Nông Lâm và Khu thực nghiệm" đúng Checklist 08 mục 3.2.</w:t>
      </w:r>
    </w:p>
    <w:p>
      <w:pPr>
        <w:spacing w:after="60" w:line="276" w:lineRule="auto"/>
        <w:ind w:firstLine="567"/>
        <w:jc w:val="both"/>
      </w:pPr>
      <w:r>
        <w:rPr>
          <w:rFonts w:ascii="Times New Roman" w:hAnsi="Times New Roman"/>
          <w:b w:val="0"/>
          <w:i w:val="0"/>
          <w:sz w:val="28"/>
        </w:rPr>
        <w:t>Cấu trúc: Tờ trình khớp mẫu kho 03-07 và TTr 13/TTr-CĐKT (Kính gửi, căn cứ, nội dung, đề nghị, hồ sơ kèm theo, nơi nhận); Báo cáo tiếp thu khớp BC 322/BC-CĐKT (bảng ý kiến – tiếp thu, giải trình); Công văn của Trường khớp CV 749/CĐKT-THHCQT (căn cứ thực hiện, nội dung, đề nghị).</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4536"/>
        <w:gridCol w:w="1927"/>
        <w:gridCol w:w="1927"/>
        <w:gridCol w:w="1927"/>
        <w:gridCol w:w="1927"/>
        <w:gridCol w:w="1927"/>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TỔNG</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14</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ind w:firstLine="567"/>
        <w:jc w:val="both"/>
      </w:pPr>
      <w:r>
        <w:rPr>
          <w:rFonts w:ascii="Times New Roman" w:hAnsi="Times New Roman"/>
          <w:b w:val="0"/>
          <w:i w:val="0"/>
          <w:sz w:val="28"/>
        </w:rPr>
        <w:t>Phạm vi: Kiểm logic nội bộ số liệu tài chính, đầu tư của Đề án và Quyết định. Bảng 18: 11.900 (5.600 + 2.500 + 1.000 + 800 + 2.000) + 6.650 (2.820 + 350 + 500 + 2.980) + 1.855 (10% của 18.550) + 51,5 = 20.456,5 triệu đồng — khớp. Cơ cấu vốn 10.432,82 + 10.023,68 = 20.456,5 — khớp. Công suất 48 × 26 × 12 = 14.976 lượt/năm; 90% = 13.478 ("khoảng 13.480") — khớp. Bảng 20: Dòng tiền năm 1–3 đã cộng lại chi đào tạo (1.313; 1.808; 2.634); năm 9–10 khấu hao 1.986, lợi nhuận sau thuế 767, dòng tiền 2.753; hoàn vốn giản đơn tính lại 8,45 năm (làm tròn 8,5) — khớp lời văn. Phụ lục VI trùng số liệu Bảng 20.</w:t>
      </w:r>
    </w:p>
    <w:p>
      <w:pPr>
        <w:spacing w:after="60" w:line="276" w:lineRule="auto"/>
        <w:ind w:firstLine="567"/>
        <w:jc w:val="both"/>
      </w:pPr>
      <w:r>
        <w:rPr>
          <w:rFonts w:ascii="Times New Roman" w:hAnsi="Times New Roman"/>
          <w:b w:val="0"/>
          <w:i w:val="0"/>
          <w:sz w:val="28"/>
        </w:rPr>
        <w:t>Giới hạn: Không thẩm định đơn giá xây dựng, giá thiết bị, giá dịch vụ bình quân 316.500 đồng/lượt, dự báo sản lượng và thị phần; không thẩm định nhu cầu đăng kiểm thực tế. Các giả định này thuộc trách nhiệm của Tổ xây dựng Đề án và cần bảng tính có công thức lưu kèm hồ sơ.</w:t>
      </w:r>
    </w:p>
    <w:p>
      <w:pPr>
        <w:spacing w:after="60" w:line="276" w:lineRule="auto"/>
        <w:ind w:firstLine="567"/>
        <w:jc w:val="both"/>
      </w:pPr>
      <w:r>
        <w:rPr>
          <w:rFonts w:ascii="Times New Roman" w:hAnsi="Times New Roman"/>
          <w:b w:val="0"/>
          <w:i w:val="0"/>
          <w:sz w:val="28"/>
        </w:rPr>
        <w:t>Đề nghị: Phòng Tài chính - Kế toán xác nhận bảng tính phương án tài chính (có công thức) trước khi Hiệu trưởng ký Tờ trình; khi lập dự án đầu tư, cập nhật báo giá thiết bị theo quy chuẩn kỹ thuật quốc gia có hiệu lực tại thời điểm đầu tư.</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Mức độ tuân thủ pháp luật: Đạt có điều kiện. Không phát hiện vấn đề Mức 1. Hồ sơ thể hiện đúng giới hạn pháp lý hiện hành: Mô hình có cơ sở ở cấp luật, nghị định nhưng chưa có hướng dẫn chi tiết, nên đề nghị UBND tỉnh xin ý kiến Bộ Tài chính, Bộ Nội vụ và chỉ phê duyệt Đề án, góp vốn sau khi có hướng dẫn. Điều kiện của kết luận "đạt" là trình tự này được giữ nguyên khi phát hành.</w:t>
      </w:r>
    </w:p>
    <w:p>
      <w:pPr>
        <w:spacing w:after="60" w:line="276" w:lineRule="auto"/>
        <w:ind w:firstLine="567"/>
        <w:jc w:val="both"/>
      </w:pPr>
      <w:r>
        <w:rPr>
          <w:rFonts w:ascii="Times New Roman" w:hAnsi="Times New Roman"/>
          <w:b w:val="0"/>
          <w:i w:val="0"/>
          <w:sz w:val="28"/>
        </w:rPr>
        <w:t>Mức độ sẵn sàng phát hành: Cần chỉnh sửa trước khi trình ký. Phải xử lý 02 vấn đề Mức 2 (quan hệ giữa Tờ trình và Công văn của Trường; chữ viết tắt trong dự thảo Quyết định). Các vấn đề Mức 3 sửa được ngay trên bản sạch; Mức 4 không chặn việc trình ký.</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Hồ sơ thống nhất cao về số liệu, cơ chế vốn và điều kiện tiên quyết sau 03 vòng tiếp thu; căn cứ pháp lý cập nhật đến tháng 10/2026, các điều khoản then chốt khớp nguyên văn văn bản gốc; phương án tài chính tái lập được.</w:t>
      </w:r>
    </w:p>
    <w:p>
      <w:pPr>
        <w:spacing w:after="60" w:line="276" w:lineRule="auto"/>
        <w:ind w:firstLine="567"/>
        <w:jc w:val="both"/>
      </w:pPr>
      <w:r>
        <w:rPr>
          <w:rFonts w:ascii="Times New Roman" w:hAnsi="Times New Roman"/>
          <w:b w:val="0"/>
          <w:i w:val="0"/>
          <w:sz w:val="28"/>
        </w:rPr>
        <w:t>Thứ tự xử lý: (1) Quyết định cách phát hành Công văn của Trường so với Tờ trình (mục 1 Phần II); (2) Viết đầy đủ chữ viết tắt trong dự thảo Quyết định và Tờ trình (mục 2, 3); (3) Ghi nhóm tài sản của nhà xưởng trong căn cứ khấu hao (mục 4); (4) Sửa các lỗi Mức 3 còn lại (mục 5–10); (5) Xác minh hiệu lực TT 238/2016/TT-BTC, đối chiếu diện tích sàn Cơ sở 5 (mục 11, 12).</w:t>
      </w:r>
    </w:p>
    <w:p>
      <w:pPr>
        <w:spacing w:after="60" w:line="276" w:lineRule="auto"/>
        <w:ind w:firstLine="567"/>
        <w:jc w:val="both"/>
      </w:pPr>
      <w:r>
        <w:rPr>
          <w:rFonts w:ascii="Times New Roman" w:hAnsi="Times New Roman"/>
          <w:b w:val="0"/>
          <w:i w:val="0"/>
          <w:sz w:val="28"/>
        </w:rPr>
        <w:t>Rủi ro nếu không sửa: Mức 2 — cơ quan nhận có thể xử lý hai văn bản như hai đề nghị riêng, kéo dài thời gian; Quyết định ban hành với chữ viết tắt chưa định nghĩa. Mức 3 — ảnh hưởng chất lượng trình bày. Mức 4 — rủi ro viện dẫn văn bản hết hiệu lực nếu TT 238 đã bị thay thế.</w:t>
      </w:r>
    </w:p>
    <w:p>
      <w:pPr>
        <w:spacing w:after="60" w:line="276" w:lineRule="auto"/>
        <w:ind w:firstLine="567"/>
        <w:jc w:val="both"/>
      </w:pPr>
      <w:r>
        <w:rPr>
          <w:rFonts w:ascii="Times New Roman" w:hAnsi="Times New Roman"/>
          <w:b w:val="0"/>
          <w:i w:val="0"/>
          <w:sz w:val="28"/>
        </w:rPr>
        <w:t>Kiến nghị chung: Phòng TH-HC&amp;QT (Tổ xây dựng Đề án) sửa trên bản sạch có Track Changes, đo lại bằng kiem_the_thuc.py, kiem_vien_dan.py; Phòng Tài chính - Kế toán xác nhận bảng tính; trình Hiệu trưởng ký Tờ trình, Báo cáo tiếp thu và (nếu giữ) Công văn, gửi UBND tỉnh qua Sở Tài chính.</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Đã rà soát đủ 4 nhóm tiêu chí (thể thức, nội dung, điều khoản bắt buộc, chất lượng soạn thảo) trên cả 6 văn bản; đã đối chiếu danh mục 2.460 tệp kho 01–05 và đọc nội dung thật các điều khoản then chốt (Luật Doanh nghiệp Điều 47, NĐ 89/2026 Điều 23, NĐ 334/2026 Điều 7, NĐ 349/2026 Chương I, TT 40/2025/TT-BXD Điều 3, 5), mẫu kho 03 và 03 văn bản tốt kho 04; đã tra Internet sau khi kho không có TT 45/2013/TT-BTC.</w:t>
      </w:r>
    </w:p>
    <w:p>
      <w:pPr>
        <w:spacing w:after="60" w:line="276" w:lineRule="auto"/>
        <w:ind w:firstLine="567"/>
        <w:jc w:val="both"/>
      </w:pPr>
      <w:r>
        <w:rPr>
          <w:rFonts w:ascii="Times New Roman" w:hAnsi="Times New Roman"/>
          <w:b w:val="0"/>
          <w:i w:val="0"/>
          <w:sz w:val="28"/>
        </w:rPr>
        <w:t>Đã đối chiếu với 03 vòng tiếp thu trước: Các nội dung đã tiếp thu (điều kiện tiên quyết, cơ chế vốn, khấu hao, đào tạo, nhân sự, số thu Bảng 4) có trên bản sạch. Không dùng báo cáo AI làm căn cứ.</w:t>
      </w:r>
    </w:p>
    <w:p>
      <w:pPr>
        <w:spacing w:after="60" w:line="276" w:lineRule="auto"/>
        <w:ind w:firstLine="567"/>
        <w:jc w:val="both"/>
      </w:pPr>
      <w:r>
        <w:rPr>
          <w:rFonts w:ascii="Times New Roman" w:hAnsi="Times New Roman"/>
          <w:b w:val="0"/>
          <w:i w:val="0"/>
          <w:sz w:val="28"/>
        </w:rPr>
        <w:t>Tách bạch: Lỗi tại Phần II; nội dung đạt tại Phần III; không có nhận định tư vấn (không xuất Phần VIII). Dương tính giả (TT08, TT17, VD06 của văn bản UBND; lề phần 6 khổ ngang; thiếu số, ngày dự thảo) không tính là lỗi.</w:t>
      </w:r>
    </w:p>
    <w:p>
      <w:pPr>
        <w:spacing w:after="60" w:line="276" w:lineRule="auto"/>
        <w:ind w:firstLine="567"/>
        <w:jc w:val="both"/>
      </w:pPr>
      <w:r>
        <w:rPr>
          <w:rFonts w:ascii="Times New Roman" w:hAnsi="Times New Roman"/>
          <w:b w:val="0"/>
          <w:i w:val="0"/>
          <w:sz w:val="28"/>
        </w:rPr>
        <w:t>Nội dung chưa đủ căn cứ kết luận được ghi rõ: Hiệu lực TT 238/2016/TT-BTC; diện tích sàn Cơ sở 5; các văn bản cấp tỉnh chưa có trong kho (Phần I). Không có hai dòng trùng vấn đề, không có kiến nghị mâu thuẫn. Ưu tiên rà sâu: Căn cứ pháp lý, phần tài chính, phần tổ chức quản trị; các phụ lục thiết bị, môi trường rà ở mức thể thức và logic.</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06 tệp bản sạch tại thư mục OneDrive "Sau tham dinh AI lan 3 24.10/Ban-sach": Đề án lần 6 bản v5; Tờ trình bản v5; dự thảo Quyết định UBND tỉnh bản v5; Báo cáo tiếp thu, giải trình bản v7; dự thảo Công văn UBND tỉnh xin ý kiến Bộ Tài chính, Bộ Nội vụ (dự thảo 2); dự thảo Công văn của Trường đề nghị UBND tỉnh xin ý kiến Bộ (v1). Kho 01: Luật Doanh nghiệp (VBHN 67/VBHN-VPQH, Điều 47); Luật Quản lý, sử dụng tài sản công (VBHN 97/VBHN-VPQH); Luật Giáo dục nghề nghiệp 124/2025/QH15; NĐ 89/2026/NĐ-CP (Điều 23); NĐ 334/2026/NĐ-CP (Điều 7); NĐ 181/2026/NĐ-CP (Điều 4); NĐ 186/2025/NĐ-CP; NĐ 178/2026/NĐ-CP; NĐ 349/2026/NĐ-CP (Chương I); TT 40/2025/TT-BXD (Điều 3, 5); TT 151/2026/TT-BTC; QĐ 46/2025/QĐ-CTUBND. Kho 02: QĐ 1710/QĐ-CĐKT; QĐ 836/QĐ-UBND; QĐ 42/2026/QĐ-UBND; BC 384/BC-CĐKT. Kho 03: Mẫu Tờ trình gia hạn Đề án Đăng kiểm (03-07). Kho 04: TTr 13/TTr-CĐKT ngày 19/6/2026; CV 749/CĐKT-THHCQT ngày 19/10/2026; BC 322/BC-CĐKT ngày 07/7/2026. Kho 05: các văn bản góp ý 2533/STP, 4478/SNV, 7173/SXD, 10668/SNNMT, 7399/QNG, 8766/STC, 10316/UBND-NC. Internet (24/10/2026): QĐ 1760/QĐ-BTC ngày 01/7/2026 (vanban.chinhphu.vn) và Phụ lục I TT 45/2013/TT-BTC (vbpq.mof.gov.vn). Công cụ đo: kiem_the_thuc.py, kiem_vien_dan.py, _read_input_properties.py. · Công cụ hỗ trợ: Hệ KTC-Ra-Soat-897-v2-Cai-tien (Skill ktc-ra-soat-897, v2.25), chạy ngày 24/10/2026.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KTC-Ra-Soat-897 (Claude Opus, 24/10/2026). 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3397</Words>
  <Characters>13447</Characters>
  <Application>Microsoft Macintosh Word</Application>
  <DocSecurity>0</DocSecurity>
  <Lines>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