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KẾ HOẠCH triển khai đánh giá hệ thống bảo đảm chất lượng năm 2026 – RÀ SOÁT LẦN 2</w:t>
      </w:r>
    </w:p>
    <w:p>
      <w:pPr>
        <w:jc w:val="center"/>
      </w:pPr>
      <w:r>
        <w:rPr>
          <w:rFonts w:ascii="Times New Roman" w:hAnsi="Times New Roman"/>
          <w:b w:val="0"/>
          <w:i w:val="0"/>
          <w:sz w:val="26"/>
        </w:rPr>
        <w:t xml:space="preserve">Ngày rà soát: </w:t>
      </w:r>
      <w:r>
        <w:rPr>
          <w:rFonts w:ascii="Times New Roman" w:hAnsi="Times New Roman"/>
          <w:b/>
          <w:i w:val="0"/>
          <w:sz w:val="26"/>
        </w:rPr>
        <w:t>13/10/2026</w:t>
      </w:r>
      <w:r>
        <w:rPr>
          <w:rFonts w:ascii="Times New Roman" w:hAnsi="Times New Roman"/>
          <w:b w:val="0"/>
          <w:i w:val="0"/>
          <w:sz w:val="26"/>
        </w:rPr>
        <w:t xml:space="preserve">  |  Đơn vị soạn thảo: </w:t>
      </w:r>
      <w:r>
        <w:rPr>
          <w:rFonts w:ascii="Times New Roman" w:hAnsi="Times New Roman"/>
          <w:b/>
          <w:i w:val="0"/>
          <w:sz w:val="26"/>
        </w:rPr>
        <w:t>Phòng Quản lý Đào tạo và Bảo đảm chất lượng</w:t>
      </w:r>
      <w:r>
        <w:rPr>
          <w:rFonts w:ascii="Times New Roman" w:hAnsi="Times New Roman"/>
          <w:b w:val="0"/>
          <w:i w:val="0"/>
          <w:sz w:val="26"/>
        </w:rPr>
        <w:t xml:space="preserve">  |  Thẩm quyền: </w:t>
      </w:r>
      <w:r>
        <w:rPr>
          <w:rFonts w:ascii="Times New Roman" w:hAnsi="Times New Roman"/>
          <w:b/>
          <w:i w:val="0"/>
          <w:sz w:val="26"/>
        </w:rPr>
        <w:t>Hiệu trưởng</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Hành chính nhà nước (NĐ 30/2020; TB 597). Kế hoạch kèm 2 phụ lục mẫu; giả định phát hành điện tử ký số. Rà soát lần 2 sau khi người soạn điều chỉnh; hệ KTC-Ra-Soat-897-v2-Cai-tien, v2.25, cập nhật 28/9/2026.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Cao đẳng Kon Tum; soạn thảo: phòng Quản lý Đào tạo và Bảo đảm chất lượng; thẩm quyền: Hiệu trưởng.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File lần 2 (KH_danh_gia_HTBDCL_nam_2026 (Lần 2)), file lần 1, báo cáo lần 1 (13/10/2026) và các nguồn đã nêu ở đó: Thông tư 28/2017, KH 55, QĐ 468/QĐ-BGDĐT, TB 597, Quy định phòng QLĐT&amp;BĐCL, mẫu KH 03-05. Phiên lần 2 không tra lại kho.</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Phương pháp</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So sánh từng đoạn, từng ô bảng giữa hai file, không dựa vào nhận định “đã điều chỉnh”. File lần 2 không có Track Changes; thay đổi thật chỉ gồm 6 chỗ (xem Phần III).</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Thống nhất tiền đề</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Người soạn cho biết không điều chỉnh các thuật ngữ, yêu cầu chuyên môn vì tương đồng ngữ nghĩa. Hệ ghi nhận nguyên văn, chỉ hạ mức khi nội dung đó thực sự là thuật ngữ; các điểm về mốc thời gian và yêu cầu của Thông tư 28 không phải thuật ngữ nên giữ.</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13/10/2026; hiệu lực Thông tư 28 vẫn chưa xác minh bằng nguồn ngoài (không có công cụ web).</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 Phần II.2 – huy động tham gia</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bỏ lặp “tham gia”. Vẫn thiếu doanh nghiệp, đơn vị sử dụng lao động tiếp nhận HSSV thực tập; đây là đối tượng bên ngoài, không tương đương “toàn thể viên chức…”.</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Bổ sung đối tượng. Đã sửa (bôi vàng).</w:t>
            </w:r>
          </w:p>
          <w:p>
            <w:pPr>
              <w:spacing w:after="0" w:before="80" w:line="240" w:lineRule="auto"/>
              <w:jc w:val="both"/>
            </w:pPr>
            <w:r>
              <w:rPr>
                <w:rFonts w:ascii="Times New Roman" w:hAnsi="Times New Roman"/>
                <w:b w:val="0"/>
                <w:i w:val="0"/>
                <w:color w:val="FF0000"/>
                <w:sz w:val="26"/>
              </w:rPr>
              <w:t>Phản hồi: Chưa điều chỉnh, chưa có giải trình.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28/2017/TT-BLĐTBXH, Đ10 k3c</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 Phần VI.1, bảng III dòng 8 – công bố</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có thời hạn công khai nội bộ 30 ngày làm việc.</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Bổ sung thời hạn. Đã sửa.</w:t>
            </w:r>
          </w:p>
          <w:p>
            <w:pPr>
              <w:spacing w:after="0" w:before="80" w:line="240" w:lineRule="auto"/>
              <w:jc w:val="both"/>
            </w:pPr>
            <w:r>
              <w:rPr>
                <w:rFonts w:ascii="Times New Roman" w:hAnsi="Times New Roman"/>
                <w:b w:val="0"/>
                <w:i w:val="0"/>
                <w:color w:val="FF0000"/>
                <w:sz w:val="26"/>
              </w:rPr>
              <w:t>Phản hồi: Chưa điều chỉnh, chưa có giải trình.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28/2017/TT-BLĐTBXH, Đ10 k5a</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 Phần IV – Cải tiến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có mốc thời gian; chưa có đầu vào là báo cáo tự đánh giá; KH 55 xếp cải tiến tháng 11-12/2026.</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Bổ sung đầu vào và chỗ trống mốc […/…/…] (đánh dấu vàng), người soạn xác định mốc.</w:t>
            </w:r>
          </w:p>
          <w:p>
            <w:pPr>
              <w:spacing w:after="0" w:before="80" w:line="240" w:lineRule="auto"/>
              <w:jc w:val="both"/>
            </w:pPr>
            <w:r>
              <w:rPr>
                <w:rFonts w:ascii="Times New Roman" w:hAnsi="Times New Roman"/>
                <w:b w:val="0"/>
                <w:i w:val="0"/>
                <w:color w:val="FF0000"/>
                <w:sz w:val="26"/>
              </w:rPr>
              <w:t>Phản hồi: Chưa điều chỉnh, chưa có giải trình.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28/2017/TT-BLĐTBXH, Đ11 k1; KH 55</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Bảng III dòng 3 và Phần VI.2</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Vẫn lệch mốc: 10/11/2026 (bảng) và 12/11/2026 (Phần VI.2).</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sửa Phần VI.2 thành 10/11; nếu ý là 12/11 thì sửa bảng.</w:t>
            </w:r>
          </w:p>
          <w:p>
            <w:pPr>
              <w:spacing w:after="0" w:before="80" w:line="240" w:lineRule="auto"/>
              <w:jc w:val="both"/>
            </w:pPr>
            <w:r>
              <w:rPr>
                <w:rFonts w:ascii="Times New Roman" w:hAnsi="Times New Roman"/>
                <w:b w:val="0"/>
                <w:i w:val="0"/>
                <w:color w:val="FF0000"/>
                <w:sz w:val="26"/>
              </w:rPr>
              <w:t>Phản hồi: Chưa điều chỉnh, chưa có giải trình.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02 mục 5.4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Phần II.1.1 – “phòng, khoa”</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Vẫn khác “Các đơn vị thuộc Trường” ở bảng III và Phần VI; hạ từ Mức 2 vì người soạn xem hai cách gọi tương đương, nhưng có thể bỏ sót Ban, Phòng khám.</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Nên ghi một câu xác định phạm vi đơn vị đánh giá.</w:t>
            </w:r>
          </w:p>
          <w:p>
            <w:pPr>
              <w:spacing w:after="0" w:before="80" w:line="240" w:lineRule="auto"/>
              <w:jc w:val="both"/>
            </w:pPr>
            <w:r>
              <w:rPr>
                <w:rFonts w:ascii="Times New Roman" w:hAnsi="Times New Roman"/>
                <w:b w:val="0"/>
                <w:i w:val="0"/>
                <w:color w:val="FF0000"/>
                <w:sz w:val="26"/>
              </w:rPr>
              <w:t>Phản hồi: Người soạn thảo không điều chỉnh vì tương đồng ngữ nghĩa/chuyên môn; ghi nhận.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28/2017/TT-BLĐTBXH, Đ10 k4a</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Phụ lục II – bảng II.1.1, II.2.1</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Cột Kết quả chưa nêu “sự phù hợp” như Phụ lục I; hạ từ Mức 2 vì có thể coi Đạt/Không đạt bao hàm.</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Nên đổi tiêu đề cột hoặc ghi rõ cách đánh giá sự phù hợp.</w:t>
            </w:r>
          </w:p>
          <w:p>
            <w:pPr>
              <w:spacing w:after="0" w:before="80" w:line="240" w:lineRule="auto"/>
              <w:jc w:val="both"/>
            </w:pPr>
            <w:r>
              <w:rPr>
                <w:rFonts w:ascii="Times New Roman" w:hAnsi="Times New Roman"/>
                <w:b w:val="0"/>
                <w:i w:val="0"/>
                <w:color w:val="FF0000"/>
                <w:sz w:val="26"/>
              </w:rPr>
              <w:t>Phản hồi: Người soạn thảo không điều chỉnh vì tương đồng ngữ nghĩa/chuyên môn; ghi nhận.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28/2017/TT-BLĐTBXH, Đ10 k4a</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Toàn văn – “Mục tiêu chất lượng”</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Lần 2 viết hoa thêm ở Phụ lục II; Phần II (2 chỗ) cũng viết hoa, còn Phụ lục I viết thường. Cách viết chưa thống nhất.</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Chọn một cách và áp dụng cho Phụ lục I.</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04 mục 6</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Bảng III dòng 6-7 cột phối hợp</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Vẫn dùng “;” khi liệt kê tên đơn vị trong cùng ô.</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Đổi thành “,”. Đã sửa.</w:t>
            </w:r>
          </w:p>
          <w:p>
            <w:pPr>
              <w:spacing w:after="0" w:before="80" w:line="240" w:lineRule="auto"/>
              <w:jc w:val="both"/>
            </w:pPr>
            <w:r>
              <w:rPr>
                <w:rFonts w:ascii="Times New Roman" w:hAnsi="Times New Roman"/>
                <w:b w:val="0"/>
                <w:i w:val="0"/>
                <w:color w:val="FF0000"/>
                <w:sz w:val="26"/>
              </w:rPr>
              <w:t>Phản hồi: Chưa điều chỉnh, chưa có giải trình.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3.1; TB 597 mục 3.1c</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Phụ lục 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Vẫn lẫn “...”, “....” và “…”.</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Thống nhất “…”. Đã sửa 6 chỗ.</w:t>
            </w:r>
          </w:p>
          <w:p>
            <w:pPr>
              <w:spacing w:after="0" w:before="80" w:line="240" w:lineRule="auto"/>
              <w:jc w:val="both"/>
            </w:pPr>
            <w:r>
              <w:rPr>
                <w:rFonts w:ascii="Times New Roman" w:hAnsi="Times New Roman"/>
                <w:b w:val="0"/>
                <w:i w:val="0"/>
                <w:color w:val="FF0000"/>
                <w:sz w:val="26"/>
              </w:rPr>
              <w:t>Phản hồi: Chưa điều chỉnh, chưa có giải trình.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04 mục 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Phụ lục I mục II.3</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Hai gạch đầu dòng đầu vẫn kết thúc bằng “.”.</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Đổi thành “;”. Đã sửa.</w:t>
            </w:r>
          </w:p>
          <w:p>
            <w:pPr>
              <w:spacing w:after="0" w:before="80" w:line="240" w:lineRule="auto"/>
              <w:jc w:val="both"/>
            </w:pPr>
            <w:r>
              <w:rPr>
                <w:rFonts w:ascii="Times New Roman" w:hAnsi="Times New Roman"/>
                <w:b w:val="0"/>
                <w:i w:val="0"/>
                <w:color w:val="FF0000"/>
                <w:sz w:val="26"/>
              </w:rPr>
              <w:t>Phản hồi: Chưa điều chỉnh, chưa có giải trình.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04 mục 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 Phần II.2 – lĩnh vực quản lý chất lượng</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thêm yêu cầu đánh giá từng lĩnh vực; Phần II.1 đã nêu nội dung đánh giá nên đóng ở mức góp ý.</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Có thể bổ sung 1 gạch đầu dòng.</w:t>
            </w:r>
          </w:p>
          <w:p>
            <w:pPr>
              <w:spacing w:after="0" w:before="80" w:line="240" w:lineRule="auto"/>
              <w:jc w:val="both"/>
            </w:pPr>
            <w:r>
              <w:rPr>
                <w:rFonts w:ascii="Times New Roman" w:hAnsi="Times New Roman"/>
                <w:b w:val="0"/>
                <w:i w:val="0"/>
                <w:color w:val="FF0000"/>
                <w:sz w:val="26"/>
              </w:rPr>
              <w:t>Phản hồi: Người soạn thảo không điều chỉnh vì tương đồng ngữ nghĩa/chuyên môn; ghi nhận.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28/2017/TT-BLĐTBXH, Đ10 k3b</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 Phần VI.1 – báo cáo cơ quan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Vẫn “theo quy định hiện hành”; dòng 9 bảng III đã bổ sung nên hạ xuống góp ý.</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Có thể dẫn mẫu Phụ lục 02 và cập nhật cơ sở dữ liệu.</w:t>
            </w:r>
          </w:p>
          <w:p>
            <w:pPr>
              <w:spacing w:after="0" w:before="80" w:line="240" w:lineRule="auto"/>
              <w:jc w:val="both"/>
            </w:pPr>
            <w:r>
              <w:rPr>
                <w:rFonts w:ascii="Times New Roman" w:hAnsi="Times New Roman"/>
                <w:b w:val="0"/>
                <w:i w:val="0"/>
                <w:color w:val="FF0000"/>
                <w:sz w:val="26"/>
              </w:rPr>
              <w:t>Phản hồi: Người soạn thảo không điều chỉnh vì tương đồng ngữ nghĩa/chuyên môn; ghi nhận.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28/2017/TT-BLĐTBXH, Đ12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 Phần VI.1 – theo dõi, kiểm tra</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nêu nhiệm vụ theo dõi, đôn đốc, kiểm tra của phòng.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Có thể bổ sung 1 gạch đầu dòng.</w:t>
            </w:r>
          </w:p>
          <w:p>
            <w:pPr>
              <w:spacing w:after="0" w:before="80" w:line="240" w:lineRule="auto"/>
              <w:jc w:val="both"/>
            </w:pPr>
            <w:r>
              <w:rPr>
                <w:rFonts w:ascii="Times New Roman" w:hAnsi="Times New Roman"/>
                <w:b w:val="0"/>
                <w:i w:val="0"/>
                <w:color w:val="FF0000"/>
                <w:sz w:val="26"/>
              </w:rPr>
              <w:t>Phản hồi: Người soạn thảo không điều chỉnh vì tương đồng ngữ nghĩa/chuyên môn; ghi nhận.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28/2017/TT-BLĐTBXH, Đ6 k2c, Đ10 k4d</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 Phần V – Kinh phí</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“lập dự toán, trình Hiệu trưởng phê duyệt”. Còn: câu “phê duyệt và thanh quyết toán” dễ hiểu nhầm chủ thể; chưa nêu nguồn kinh phí, “quy định hiện hành” chưa dẫn văn bản.</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Tách “phê duyệt; thanh quyết toán”, nêu nguồn kinh phí và Quy chế chi tiêu nội bộ.</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Mẫu KH 03-05</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Phần II.1 – kỳ đánh giá</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nêu mục tiêu chất lượng của năm học nào được đánh giá.</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Người soạn xác định kỳ đánh giá.</w:t>
            </w:r>
          </w:p>
          <w:p>
            <w:pPr>
              <w:spacing w:after="0" w:before="80" w:line="240" w:lineRule="auto"/>
              <w:jc w:val="both"/>
            </w:pPr>
            <w:r>
              <w:rPr>
                <w:rFonts w:ascii="Times New Roman" w:hAnsi="Times New Roman"/>
                <w:b w:val="0"/>
                <w:i w:val="0"/>
                <w:color w:val="FF0000"/>
                <w:sz w:val="26"/>
              </w:rPr>
              <w:t>Phản hồi: Người soạn thảo không điều chỉnh vì tương đồng ngữ nghĩa/chuyên môn; ghi nhận.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55 mục III.1.2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Phần IV.2, bảng III dòng 7 – “các bên liên quan”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Vẫn dùng cụm chung; người soạn xem tương đương nên hạ xuống góp ý.</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Có thể nêu cụ thể theo Điều 10 k4c, Điều 11 k2.</w:t>
            </w:r>
          </w:p>
          <w:p>
            <w:pPr>
              <w:spacing w:after="0" w:before="80" w:line="240" w:lineRule="auto"/>
              <w:jc w:val="both"/>
            </w:pPr>
            <w:r>
              <w:rPr>
                <w:rFonts w:ascii="Times New Roman" w:hAnsi="Times New Roman"/>
                <w:b w:val="0"/>
                <w:i w:val="0"/>
                <w:color w:val="FF0000"/>
                <w:sz w:val="26"/>
              </w:rPr>
              <w:t>Phản hồi: Người soạn thảo không điều chỉnh vì tương đồng ngữ nghĩa/chuyên môn; ghi nhận.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28/2017/TT-BLĐTBXH, Đ11 k2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Bảng III dòng 9 (mới)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thêm, mốc 31/12/2026 đúng. Đơn vị phối hợp là Phòng TH-HC&amp;QT (viết tắt đúng); chưa ghi Hiệu trưởng phê duyệt báo cáo.</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Xác nhận vai trò Phòng TH-HC&amp;QT; nên nêu phê duyệt của Hiệu trưởng.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28/2017/TT-BLĐTBXH, Đ12 k1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Căn cứ – KH 55</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55 dùng tên phòng cũ; KH này dùng tên mới đúng (QĐ 992 ngày 12/5/2026).</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Không sửa.</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Quy định phòng QLĐT&amp;BĐCL</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19</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Bảng III dòng 7</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Hạn 20/12/2026 là Chủ nhật.</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Cân nhắc 18/12.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Lịch</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20</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Bảng III – Ban đánh giá</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nêu thành phần, nhiệm vụ Ban.</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Quy định trong QĐ thành lập Ban.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28/2017/TT-BLĐTBXH, Đ6 k1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Phần VI.1 – cơ quan nhận báo cáo</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Cơ quan nhận theo Thông tư 28 là cơ cấu 2017; chưa xác minh cơ quan hiện hành.</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Pháp chế xác minh.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28/2017/TT-BLĐTBXH, Đ12 k2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Văn bản tiền đề</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thấy trong kho quy chế hệ thống thông tin BĐCL và QĐ mục tiêu chất lượng 2026-2027.</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Xác nhận đã ban hành.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28/2017/TT-BLĐTBXH, Đ8 k4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Phần I – mục tiêu</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lượng hóa theo số đơn vị, tỷ lệ báo cáo đúng hạn.</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Cân nhắc thêm chỉ tiêu.</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07</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val="0"/>
          <w:i w:val="0"/>
          <w:sz w:val="28"/>
        </w:rPr>
        <w:t>Đã xử lý đạt (4 điểm lần 1): bảng III dòng 1 đã có đơn vị phối hợp; dòng 8 đã có sản phẩm “Hồ sơ đánh giá”; dòng 9 báo cáo cơ quan trước 31/12/2026 đã thêm, đúng định dạng và mốc; cột thời gian dòng 6-8 đã thống nhất “Trước ngày”.</w:t>
      </w:r>
    </w:p>
    <w:p>
      <w:pPr>
        <w:spacing w:after="60" w:line="276" w:lineRule="auto"/>
        <w:jc w:val="both"/>
      </w:pPr>
      <w:r>
        <w:rPr>
          <w:rFonts w:ascii="Times New Roman" w:hAnsi="Times New Roman"/>
          <w:b w:val="0"/>
          <w:i w:val="0"/>
          <w:sz w:val="28"/>
        </w:rPr>
        <w:t>Đã xử lý một phần: lặp “tham gia” (Phần II.2) đã bỏ; Phần V đã chuyển “xây dựng” thành “lập dự toán” và thêm trình Hiệu trưởng phê duyệt.</w:t>
      </w:r>
    </w:p>
    <w:p>
      <w:pPr>
        <w:spacing w:after="60" w:line="276" w:lineRule="auto"/>
        <w:jc w:val="both"/>
      </w:pPr>
      <w:r>
        <w:rPr>
          <w:rFonts w:ascii="Times New Roman" w:hAnsi="Times New Roman"/>
          <w:b w:val="0"/>
          <w:i w:val="0"/>
          <w:sz w:val="28"/>
        </w:rPr>
        <w:t>Thể thức: đo lại bằng công cụ, lề 30/20/20/20 mm, không phát sinh lỗi định dạng; dòng 9 cùng định dạng các dòng khác.</w:t>
      </w:r>
    </w:p>
    <w:p>
      <w:pPr>
        <w:spacing w:after="60" w:line="276" w:lineRule="auto"/>
        <w:jc w:val="both"/>
      </w:pPr>
      <w:r>
        <w:rPr>
          <w:rFonts w:ascii="Times New Roman" w:hAnsi="Times New Roman"/>
          <w:b w:val="0"/>
          <w:i w:val="0"/>
          <w:sz w:val="28"/>
        </w:rPr>
        <w:t>Không phát sinh lỗi mới do điều chỉnh, trừ điểm viết hoa “Mục tiêu chất lượng” ở Phụ lục II (mục 7) và câu “phê duyệt và thanh quyết toán” (mục 14).</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3402"/>
        <w:gridCol w:w="1984"/>
        <w:gridCol w:w="1984"/>
        <w:gridCol w:w="1984"/>
        <w:gridCol w:w="1984"/>
        <w:gridCol w:w="1984"/>
      </w:tblGrid>
      <w:tr>
        <w:trPr>
          <w:cantSplit w:val="0"/>
          <w:tblHeader w:val="1"/>
        </w:trPr>
        <w:tc>
          <w:tcPr>
            <w:tcW w:type="dxa" w:w="3402"/>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w:t>
            </w:r>
          </w:p>
        </w:tc>
        <w:tc>
          <w:tcPr>
            <w:tcW w:type="dxa" w:w="198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1</w:t>
            </w:r>
          </w:p>
        </w:tc>
        <w:tc>
          <w:tcPr>
            <w:tcW w:type="dxa" w:w="198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2</w:t>
            </w:r>
          </w:p>
        </w:tc>
        <w:tc>
          <w:tcPr>
            <w:tcW w:type="dxa" w:w="198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3</w:t>
            </w:r>
          </w:p>
        </w:tc>
        <w:tc>
          <w:tcPr>
            <w:tcW w:type="dxa" w:w="198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4</w:t>
            </w:r>
          </w:p>
        </w:tc>
        <w:tc>
          <w:tcPr>
            <w:tcW w:type="dxa" w:w="198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TỔNG</w:t>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Thể thức</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Nội dung</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8</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11</w:t>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Điều khoản bắt buộc</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7</w:t>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Chất lượng soạn thảo</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13</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23</w:t>
            </w:r>
          </w:p>
        </w:tc>
      </w:tr>
    </w:tbl>
    <w:p>
      <w:pPr>
        <w:spacing w:after="40"/>
      </w:pPr>
    </w:p>
    <w:p>
      <w:pPr>
        <w:spacing w:after="60" w:line="276" w:lineRule="auto"/>
        <w:jc w:val="both"/>
      </w:pPr>
      <w:r>
        <w:rPr>
          <w:rFonts w:ascii="Times New Roman" w:hAnsi="Times New Roman"/>
          <w:b w:val="0"/>
          <w:i/>
          <w:sz w:val="28"/>
        </w:rPr>
        <w:t>So với lần 1 (26 vấn đề: 8 Mức 2, 12 Mức 3, 6 Mức 4): đóng 4, hạ mức 8, giữ nguyên 14, thêm mới 1.</w:t>
      </w:r>
    </w:p>
    <w:p>
      <w:pPr>
        <w:spacing w:before="200" w:after="80"/>
      </w:pPr>
      <w:r>
        <w:rPr>
          <w:rFonts w:ascii="Times New Roman" w:hAnsi="Times New Roman"/>
          <w:b/>
          <w:i w:val="0"/>
          <w:color w:val="7030A0"/>
          <w:sz w:val="28"/>
        </w:rPr>
        <w:t>PHẦN V. THẨM ĐỊNH CHUYÊN MÔN</w:t>
      </w:r>
    </w:p>
    <w:p>
      <w:pPr>
        <w:spacing w:after="60" w:line="276" w:lineRule="auto"/>
        <w:jc w:val="both"/>
      </w:pPr>
      <w:r>
        <w:rPr>
          <w:rFonts w:ascii="Times New Roman" w:hAnsi="Times New Roman"/>
          <w:b w:val="0"/>
          <w:i/>
          <w:sz w:val="28"/>
        </w:rPr>
        <w:t>Không có nội dung cần thẩm định chuyên môn.</w:t>
      </w:r>
    </w:p>
    <w:p>
      <w:pPr>
        <w:spacing w:before="200" w:after="80"/>
      </w:pPr>
      <w:r>
        <w:rPr>
          <w:rFonts w:ascii="Times New Roman" w:hAnsi="Times New Roman"/>
          <w:b/>
          <w:i w:val="0"/>
          <w:color w:val="7030A0"/>
          <w:sz w:val="28"/>
        </w:rPr>
        <w:t>PHẦN VI. ĐÁNH GIÁ TỔNG THỂ</w:t>
      </w:r>
    </w:p>
    <w:p>
      <w:pPr>
        <w:spacing w:after="60" w:line="276" w:lineRule="auto"/>
        <w:jc w:val="both"/>
      </w:pPr>
      <w:r>
        <w:rPr>
          <w:rFonts w:ascii="Times New Roman" w:hAnsi="Times New Roman"/>
          <w:b w:val="0"/>
          <w:i w:val="0"/>
          <w:sz w:val="28"/>
        </w:rPr>
        <w:t>Mức độ tuân thủ pháp luật: Đạt có điều kiện. Không có Mức 1; còn 4 điểm Mức 2 (đối tượng tham gia, thời hạn công khai 30 ngày, mốc cải tiến, lệch mốc 10/11 và 12/11).</w:t>
      </w:r>
    </w:p>
    <w:p>
      <w:pPr>
        <w:spacing w:after="60" w:line="276" w:lineRule="auto"/>
        <w:jc w:val="both"/>
      </w:pPr>
      <w:r>
        <w:rPr>
          <w:rFonts w:ascii="Times New Roman" w:hAnsi="Times New Roman"/>
          <w:b w:val="0"/>
          <w:i w:val="0"/>
          <w:sz w:val="28"/>
        </w:rPr>
        <w:t>Mức độ sẵn sàng phát hành: Cần chỉnh sửa trước khi trình ký. Chỉ cần xử lý 4 điểm Mức 2; các điểm còn lại có thể giải trình hoặc bỏ qua.</w:t>
      </w:r>
    </w:p>
    <w:p>
      <w:pPr>
        <w:spacing w:before="200" w:after="80"/>
      </w:pPr>
      <w:r>
        <w:rPr>
          <w:rFonts w:ascii="Times New Roman" w:hAnsi="Times New Roman"/>
          <w:b/>
          <w:i w:val="0"/>
          <w:color w:val="7030A0"/>
          <w:sz w:val="28"/>
        </w:rPr>
        <w:t>PHẦN VII. KẾT LUẬN VÀ THỨ TỰ XỬ LÝ</w:t>
      </w:r>
    </w:p>
    <w:p>
      <w:pPr>
        <w:spacing w:after="60" w:line="276" w:lineRule="auto"/>
        <w:jc w:val="both"/>
      </w:pPr>
      <w:r>
        <w:rPr>
          <w:rFonts w:ascii="Times New Roman" w:hAnsi="Times New Roman"/>
          <w:b w:val="0"/>
          <w:i w:val="0"/>
          <w:sz w:val="28"/>
        </w:rPr>
        <w:t>Ưu điểm: các điều chỉnh về bảng tiến độ đúng và gọn; thể thức giữ chuẩn.</w:t>
      </w:r>
    </w:p>
    <w:p>
      <w:pPr>
        <w:spacing w:after="60" w:line="276" w:lineRule="auto"/>
        <w:jc w:val="both"/>
      </w:pPr>
      <w:r>
        <w:rPr>
          <w:rFonts w:ascii="Times New Roman" w:hAnsi="Times New Roman"/>
          <w:b w:val="0"/>
          <w:i w:val="0"/>
          <w:sz w:val="28"/>
        </w:rPr>
        <w:t>Thứ tự xử lý: (1) thống nhất mốc 10/11 hoặc 12/11; (2) bổ sung mốc cải tiến; (3) thời hạn công khai 30 ngày làm việc; (4) đối tượng doanh nghiệp, đơn vị sử dụng lao động; (5) 6 điểm Mức 3, nhất là chọn một cách viết “Mục tiêu chất lượng”.</w:t>
      </w:r>
    </w:p>
    <w:p>
      <w:pPr>
        <w:spacing w:after="60" w:line="276" w:lineRule="auto"/>
        <w:jc w:val="both"/>
      </w:pPr>
      <w:r>
        <w:rPr>
          <w:rFonts w:ascii="Times New Roman" w:hAnsi="Times New Roman"/>
          <w:b w:val="0"/>
          <w:i w:val="0"/>
          <w:sz w:val="28"/>
        </w:rPr>
        <w:t>Rủi ro nếu không sửa: 4 điểm Mức 2 làm kế hoạch lệch yêu cầu Thông tư 28 và KH 55; nên ghi giải trình nếu giữ nguyên.</w:t>
      </w:r>
    </w:p>
    <w:p>
      <w:pPr>
        <w:spacing w:after="60" w:line="276" w:lineRule="auto"/>
        <w:jc w:val="both"/>
      </w:pPr>
      <w:r>
        <w:rPr>
          <w:rFonts w:ascii="Times New Roman" w:hAnsi="Times New Roman"/>
          <w:b w:val="0"/>
          <w:i w:val="0"/>
          <w:sz w:val="28"/>
        </w:rPr>
        <w:t>Kiến nghị: nếu giữ nguyên các điểm Mức 2, người soạn ghi giải trình bằng văn bản để lưu hồ sơ. Bản Track Changes lần 2 đi kèm chỉ áp các điểm còn tồn tại.</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 Đã so sánh toàn bộ văn bản và bảng giữa hai file, không chỉ đọc nhận định của người soạn.</w:t>
      </w:r>
    </w:p>
    <w:p>
      <w:pPr>
        <w:spacing w:after="60" w:line="276" w:lineRule="auto"/>
        <w:jc w:val="both"/>
      </w:pPr>
      <w:r>
        <w:rPr>
          <w:rFonts w:ascii="Times New Roman" w:hAnsi="Times New Roman"/>
          <w:b w:val="0"/>
          <w:i w:val="0"/>
          <w:sz w:val="28"/>
        </w:rPr>
        <w:t>- Đã đối chiếu từng điểm của báo cáo lần 1 (26 điểm) và nêu trạng thái.</w:t>
      </w:r>
    </w:p>
    <w:p>
      <w:pPr>
        <w:spacing w:after="60" w:line="276" w:lineRule="auto"/>
        <w:jc w:val="both"/>
      </w:pPr>
      <w:r>
        <w:rPr>
          <w:rFonts w:ascii="Times New Roman" w:hAnsi="Times New Roman"/>
          <w:b w:val="0"/>
          <w:i w:val="0"/>
          <w:sz w:val="28"/>
        </w:rPr>
        <w:t>- Chưa đủ căn cứ: hiệu lực Thông tư 28 sau 03/3/2026; cơ quan nhận báo cáo hiện hành; lý do cụ thể của người soạn cho từng điểm (chỉ biết nhận định chung).</w:t>
      </w:r>
    </w:p>
    <w:p>
      <w:pPr>
        <w:spacing w:after="60" w:line="276" w:lineRule="auto"/>
        <w:jc w:val="both"/>
      </w:pPr>
      <w:r>
        <w:rPr>
          <w:rFonts w:ascii="Times New Roman" w:hAnsi="Times New Roman"/>
          <w:b w:val="0"/>
          <w:i w:val="0"/>
          <w:sz w:val="28"/>
        </w:rPr>
        <w:t>- Không dùng Phần VIII vì không được yêu cầu. Bản Track Changes đã validate.</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File lần 1 và lần 2; báo cáo lần 1; Thông tư 28/2017; KH 55; TB 597; QĐ 468/QĐ-BGDĐT. · Công cụ hỗ trợ: Hệ KTC-Ra-Soat-897-v2-Cai-tien (Skill ktc-ra-soat-897, v2.25), chạy ngày 13/10/2026.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[Cần điền tên và chức danh người kiểm tra]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2115</Words>
  <Characters>8056</Characters>
  <Application>Microsoft Macintosh Word</Application>
  <DocSecurity>0</DocSecurity>
  <Lines>0</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