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KẾ HOẠCH VẬT TƯ GIẢNG DẠY THỰC HÀNH MÔN HỌC/MÔ ĐUN HỌC KỲ I NĂM HỌC 2026-2027, LỚP K9T NGHIỆP VỤ NHÀ HÀNG, KHÁCH SẠN THUỘC KHOA KINH TẾ VÀ NÔNG LÂM (DỰ THẢO PB4 — RÀ SOÁT LẦN 3, ĐỐI CHIẾU TIẾP THU BÁO CÁO PB3)</w:t>
      </w:r>
    </w:p>
    <w:p>
      <w:pPr>
        <w:jc w:val="center"/>
      </w:pPr>
      <w:r>
        <w:rPr>
          <w:rFonts w:ascii="Times New Roman" w:hAnsi="Times New Roman"/>
          <w:b w:val="0"/>
          <w:i w:val="0"/>
          <w:sz w:val="26"/>
        </w:rPr>
        <w:t xml:space="preserve">Ngày rà soát: </w:t>
      </w:r>
      <w:r>
        <w:rPr>
          <w:rFonts w:ascii="Times New Roman" w:hAnsi="Times New Roman"/>
          <w:b/>
          <w:i w:val="0"/>
          <w:sz w:val="26"/>
        </w:rPr>
        <w:t>10/10/2026</w:t>
      </w:r>
      <w:r>
        <w:rPr>
          <w:rFonts w:ascii="Times New Roman" w:hAnsi="Times New Roman"/>
          <w:b w:val="0"/>
          <w:i w:val="0"/>
          <w:sz w:val="26"/>
        </w:rPr>
        <w:t xml:space="preserve">  |  Đơn vị soạn thảo: </w:t>
      </w:r>
      <w:r>
        <w:rPr>
          <w:rFonts w:ascii="Times New Roman" w:hAnsi="Times New Roman"/>
          <w:b/>
          <w:i w:val="0"/>
          <w:sz w:val="26"/>
        </w:rPr>
        <w:t>Khoa Kinh tế và Nông Lâm</w:t>
      </w:r>
      <w:r>
        <w:rPr>
          <w:rFonts w:ascii="Times New Roman" w:hAnsi="Times New Roman"/>
          <w:b w:val="0"/>
          <w:i w:val="0"/>
          <w:sz w:val="26"/>
        </w:rPr>
        <w:t xml:space="preserve">  |  Thẩm quyền: </w:t>
      </w:r>
      <w:r>
        <w:rPr>
          <w:rFonts w:ascii="Times New Roman" w:hAnsi="Times New Roman"/>
          <w:b/>
          <w:i w:val="0"/>
          <w:sz w:val="26"/>
        </w:rPr>
        <w:t>Hiệu trưởng (ký ban hành)</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Văn bản hành chính nhà nước — NĐ 30/2020/NĐ-CP và TB 597/TB-CĐKT ngày 19/5/2026. Hệ KTC-Ra-Soat-897-v2-Cai-tien, v2.25, cập nhật 28/9/2026.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 hoạch kèm Phụ lục, theo mẫu BM/TCKT/02 kèm Quyết định số 131/QĐ-CĐKT ngày 16/01/2024.</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Cao đẳng Kon Tum; soạn thảo: khoa Kinh tế và Nông Lâm; ký: Hiệu trưởng; thẩm định: phòng TH-HC&amp;QT chủ trì, phòng QLĐT&amp;BĐCL, phòng TC-KT.</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“K9T NVNHKS. PB4 ban sach…docx” (5 trang); báo cáo rà soát PB3 (15 vấn đề) và dự thảo PB3; bản PB4 có Track Changes do Hệ lập ngày 10/10/2026; hồ sơ căn cứ của các lượt trước (QĐ 131 kèm biểu mẫu, tệp định mức đã ký 08/10/2026, Phụ lục KHĐT toàn khóa và năm học, Khung CTĐT, Phụ lục XII). Kho 01-04: TB 597, Phụ lục NĐ 30, QĐ 1334.</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Thống nhất tiền đề</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Người dùng đã chỉ đạo giữ nguyên cột Số lượng như dự thảo, không chỉnh sửa. Bản PB4 do chính Hệ chỉnh sửa từ PB3 theo yêu cầu “hoàn thiện” — vì vậy lượt rà soát này không độc lập với người sửa; mọi kết luận được kiểm lại trực tiếp trên tệp người dùng gửi (đọc văn bản, thuộc tính XML, xuất PDF). Tệp gửi lên có nội dung chữ trùng khớp bản sạch Hệ đã giao; khác biệt chỉ do Word lưu lại (độ rộng cột làm tròn, tổng 24,0 cm). Phần VIII không thực hiện.</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10/10/2026. Kho 01-04: các tệp đã đọc cùng ngày, siêu dữ liệu không thay đổi. Các nội dung chưa xác minh (QĐ 1778, QĐ 1928, trích yếu KH 853, số và ký hiệu 1101/PC-CĐKT, sĩ số, ngày thực hiện) chưa có tài liệu mới.</w:t>
            </w:r>
          </w:p>
        </w:tc>
      </w:tr>
    </w:tbl>
    <w:p>
      <w:pPr>
        <w:spacing w:after="40"/>
      </w:pPr>
    </w:p>
    <w:p>
      <w:pPr>
        <w:spacing w:before="200" w:after="80"/>
      </w:pPr>
      <w:r>
        <w:rPr>
          <w:rFonts w:ascii="Times New Roman" w:hAnsi="Times New Roman"/>
          <w:b/>
          <w:i w:val="0"/>
          <w:color w:val="7030A0"/>
          <w:sz w:val="28"/>
        </w:rPr>
        <w:t>PHẦN II. KẾT QUẢ RÀ SOÁT CHI TIẾT</w:t>
      </w:r>
    </w:p>
    <w:p>
      <w:pPr>
        <w:spacing w:before="120" w:after="60"/>
      </w:pPr>
      <w:r>
        <w:rPr>
          <w:rFonts w:ascii="Times New Roman" w:hAnsi="Times New Roman"/>
          <w:b/>
          <w:i w:val="0"/>
          <w:color w:val="2E74B5"/>
          <w:sz w:val="28"/>
        </w:rPr>
        <w:t>II.A. Đối chiếu tiếp thu Báo cáo rà soát bản PB3</w:t>
      </w:r>
    </w:p>
    <w:tbl>
      <w:tblPr>
        <w:tblStyle w:val="TableGrid"/>
        <w:tblW w:type="auto" w:w="0"/>
        <w:jc w:val="center"/>
        <w:tblLayout w:type="fixed"/>
        <w:tblLook w:firstColumn="1" w:firstRow="1" w:lastColumn="0" w:lastRow="0" w:noHBand="0" w:noVBand="1" w:val="04A0"/>
      </w:tblPr>
      <w:tblGrid>
        <w:gridCol w:w="907"/>
        <w:gridCol w:w="3061"/>
        <w:gridCol w:w="7711"/>
        <w:gridCol w:w="2721"/>
      </w:tblGrid>
      <w:tr>
        <w:trPr>
          <w:cantSplit w:val="0"/>
          <w:tblHeader w:val="1"/>
        </w:trPr>
        <w:tc>
          <w:tcPr>
            <w:tcW w:type="dxa" w:w="90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 PB3</w:t>
            </w:r>
          </w:p>
        </w:tc>
        <w:tc>
          <w:tcPr>
            <w:tcW w:type="dxa" w:w="306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VẤN ĐỀ (MỨC)</w:t>
            </w:r>
          </w:p>
        </w:tc>
        <w:tc>
          <w:tcPr>
            <w:tcW w:type="dxa" w:w="7710"/>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KẾT QUẢ KIỂM TRA TRÊN PB4</w:t>
            </w:r>
          </w:p>
        </w:tc>
        <w:tc>
          <w:tcPr>
            <w:tcW w:type="dxa" w:w="272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TÌNH TRẠNG</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Số lượng vượt định mức (Mức 2)</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Giữ nguyên 14/14 giá trị theo chỉ đạo của người dùng; không có ghi chú làm tròn.</w:t>
            </w:r>
          </w:p>
        </w:tc>
        <w:tc>
          <w:tcPr>
            <w:tcW w:type="dxa" w:w="2721"/>
            <w:shd w:val="clear" w:fill="DCE6F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Giữ nguyên theo chỉ đạo</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Lập kế hoạch muộn (Mức 2)</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xử lý được trên văn bản; chưa có phiếu trình kèm theo.</w:t>
            </w:r>
          </w:p>
        </w:tc>
        <w:tc>
          <w:tcPr>
            <w:tcW w:type="dxa" w:w="2721"/>
            <w:shd w:val="clear" w:fill="DCE6F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Chuyển phiếu trình</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“Phiếu chuyển” (Mức 3)</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Định mức vật tư thực hành toàn khóa … được Hiệu trưởng Trường Cao đẳng Kon Tum phê duyệt ngày 08 tháng 10 năm 2026 (Phiếu chuyển số 1101/PC-CĐKT).” — đã sửa, hết “toàn khoá”.</w:t>
            </w:r>
          </w:p>
        </w:tc>
        <w:tc>
          <w:tcPr>
            <w:tcW w:type="dxa" w:w="2721"/>
            <w:shd w:val="clear" w:fill="C6EFCE"/>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tiếp thu</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Túi thuốc sơ cứu (Mức 3)</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thêm ghi chú, theo chỉ đạo giữ nguyên Phụ lục về số lượng.</w:t>
            </w:r>
          </w:p>
        </w:tc>
        <w:tc>
          <w:tcPr>
            <w:tcW w:type="dxa" w:w="2721"/>
            <w:shd w:val="clear" w:fill="DCE6F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Giữ nguyên theo chỉ đạo</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Trình bày Phụ lục (Mức 3)</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15/15 dòng đã đặt không ngắt qua trang (không còn dòng bị tách); có dòng “Danh sách này gồm 01 lớp./.”; tiêu đề “HỌC KỲ I NĂM HỌC” khớp trích yếu. Riêng cột Ghi chú VẪN căn đều hai bên (jc = both) — xem đính chính tại vấn đề 4 mục II.B.</w:t>
            </w:r>
          </w:p>
        </w:tc>
        <w:tc>
          <w:tcPr>
            <w:tcW w:type="dxa" w:w="2721"/>
            <w:shd w:val="clear" w:fill="FFEB9C"/>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Tiếp thu một phần</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Lề dưới Phụ lục 3 cm (Mức 3)</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Lề dưới phần Phụ lục 2 cm; bảng 24,0 cm vừa vùng in.</w:t>
            </w:r>
          </w:p>
        </w:tc>
        <w:tc>
          <w:tcPr>
            <w:tcW w:type="dxa" w:w="2721"/>
            <w:shd w:val="clear" w:fill="C6EFCE"/>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tiếp thu</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KH 853 (Mức 3)</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 của Trường Cao đẳng Kon Tum về đào tạo năm học 2026-2027 lớp K9T …” — hết lặp từ, thống nhất “2026-2027”; trích yếu gốc vẫn chưa đối chiếu (chuyển Mức 4).</w:t>
            </w:r>
          </w:p>
        </w:tc>
        <w:tc>
          <w:tcPr>
            <w:tcW w:type="dxa" w:w="2721"/>
            <w:shd w:val="clear" w:fill="C6EFCE"/>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tiếp thu</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khoa thiếu “Lâm” (Mức 3)</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“Phối hợp với khoa Kinh tế và Nông Lâm cấp phát vật tư …”.</w:t>
            </w:r>
          </w:p>
        </w:tc>
        <w:tc>
          <w:tcPr>
            <w:tcW w:type="dxa" w:w="2721"/>
            <w:shd w:val="clear" w:fill="C6EFCE"/>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tiếp thu</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Thiếu “với” (Mức 3)</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II.1, II.3, II.4 đều “phối hợp với”.</w:t>
            </w:r>
          </w:p>
        </w:tc>
        <w:tc>
          <w:tcPr>
            <w:tcW w:type="dxa" w:w="2721"/>
            <w:shd w:val="clear" w:fill="C6EFCE"/>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tiếp thu</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Cột Ghi chú, “KTDLPL” (Mức 3)</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Yêu cầu kỹ thuật đủ 14/14 vật tư, khớp cột (5) định mức; ghi đầy đủ “bộ môn Kinh tế - Du lịch và Pháp lý”.</w:t>
            </w:r>
          </w:p>
        </w:tc>
        <w:tc>
          <w:tcPr>
            <w:tcW w:type="dxa" w:w="2721"/>
            <w:shd w:val="clear" w:fill="C6EFCE"/>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tiếp thu</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1778: thứ tự, hiệu lực (Mức 4)</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đặt trước QĐ 131, căn cứ xếp đúng trình tự thời gian; hiệu lực chưa xác nhận.</w:t>
            </w:r>
          </w:p>
        </w:tc>
        <w:tc>
          <w:tcPr>
            <w:tcW w:type="dxa" w:w="2721"/>
            <w:shd w:val="clear" w:fill="FFEB9C"/>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Tiếp thu một phần</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12</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1928 chưa xác minh (Mức 4)</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có tài liệu bổ sung.</w:t>
            </w:r>
          </w:p>
        </w:tc>
        <w:tc>
          <w:tcPr>
            <w:tcW w:type="dxa" w:w="2721"/>
            <w:shd w:val="clear" w:fill="FFC7CE"/>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xác minh</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13</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Sĩ số, thời gian (Mức 4)</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có tài liệu bổ sung.</w:t>
            </w:r>
          </w:p>
        </w:tc>
        <w:tc>
          <w:tcPr>
            <w:tcW w:type="dxa" w:w="2721"/>
            <w:shd w:val="clear" w:fill="FFC7CE"/>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xác minh</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14</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Thủ tục thẩm định (Mức 4)</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Thuộc phiếu trình.</w:t>
            </w:r>
          </w:p>
        </w:tc>
        <w:tc>
          <w:tcPr>
            <w:tcW w:type="dxa" w:w="2721"/>
            <w:shd w:val="clear" w:fill="DCE6F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Chuyển phiếu trình</w:t>
            </w:r>
          </w:p>
        </w:tc>
      </w:tr>
      <w:tr>
        <w:trPr>
          <w:cantSplit w:val="0"/>
        </w:trPr>
        <w:tc>
          <w:tcPr>
            <w:tcW w:type="dxa" w:w="90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15</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Trách nhiệm khoa ở II.1 (Mức 4)</w:t>
            </w:r>
          </w:p>
        </w:tc>
        <w:tc>
          <w:tcPr>
            <w:tcW w:type="dxa" w:w="771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bổ sung “tiếp nhận, quản lý vật tư, cấp phát cho nhà giáo trực tiếp giảng dạy và lập biên bản xử lý vật tư sau thực hành theo quy định”, phù hợp QĐ 131 Điều 4 khoản 2, Điều 5 khoản 2, Điều 6 khoản 3; không trùng lặp với II.4 (phòng TH-HC&amp;QT phối hợp).</w:t>
            </w:r>
          </w:p>
        </w:tc>
        <w:tc>
          <w:tcPr>
            <w:tcW w:type="dxa" w:w="2721"/>
            <w:shd w:val="clear" w:fill="C6EFCE"/>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tiếp thu</w:t>
            </w:r>
          </w:p>
        </w:tc>
      </w:tr>
    </w:tbl>
    <w:p>
      <w:pPr>
        <w:spacing w:after="40"/>
      </w:pPr>
    </w:p>
    <w:p>
      <w:pPr>
        <w:spacing w:after="60" w:line="276" w:lineRule="auto"/>
        <w:jc w:val="both"/>
      </w:pPr>
      <w:r>
        <w:rPr>
          <w:rFonts w:ascii="Times New Roman" w:hAnsi="Times New Roman"/>
          <w:b w:val="0"/>
          <w:i w:val="0"/>
          <w:sz w:val="28"/>
        </w:rPr>
        <w:t>Tổng hợp: 7 đã tiếp thu (3, 6, 7, 8, 9, 10, 15); 2 tiếp thu một phần (5, 11); 2 giữ nguyên theo chỉ đạo (1, 4); 2 chuyển phiếu trình (2, 14); 2 chưa có tài liệu xác minh (12, 13). Không phát sinh lỗi mới về nội dung chữ.</w:t>
      </w:r>
    </w:p>
    <w:p>
      <w:pPr>
        <w:spacing w:before="120" w:after="60"/>
      </w:pPr>
      <w:r>
        <w:rPr>
          <w:rFonts w:ascii="Times New Roman" w:hAnsi="Times New Roman"/>
          <w:b/>
          <w:i w:val="0"/>
          <w:color w:val="2E74B5"/>
          <w:sz w:val="28"/>
        </w:rPr>
        <w:t>II.B. Kết quả rà soát bản PB4</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cột “Số lượng” [PB3-1]</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Theo chỉ đạo, giữ nguyên số lượng. Đối chiếu định mức × 11 người học: 8/14 vật tư vượt (Giấy A1, Giấy A4, Giấy note, Mẫu sổ order, Mẫu sổ sách nhà hàng, Phấn, Pin, Túi thuốc sơ cứu); văn bản không nêu nguyên tắc làm tròn. Đây là lựa chọn của đơn vị soạn thảo, nhưng rủi ro khi thanh quyết toán vẫn còn.</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Phiếu trình nêu rõ: số lượng làm tròn theo đơn vị mua sắm được, phần vượt định mức được trừ vào nhu cầu các học kỳ sau; kèm ý kiến phòng TC-KT để Hiệu trưởng quyết định.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131 Điều 3 khoản 2, Điều 5 khoản 2, 3</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Thời điểm lập kế hoạch [PB3-2]</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Mô đun bắt đầu 15/10/2026, định mức ký 08/10/2026 — không đáp ứng thời hạn 1,5 tháng; không khắc phục được trên văn bản.</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Giải trình trong phiếu trình; kế hoạch học kỳ II gửi trước 04/12/2026.</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131 Điều 5 khoản 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Túi thuốc sơ cứu [PB3-4]</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Giữ nguyên 1 bộ “dùng chung cho cả khóa học”, vượt định mức toàn khóa (0,77 bộ cho 11 người học); chưa có cam kết không đề xuất lại.</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Nêu trong phiếu trình; không đề xuất lại ở các học kỳ sau của khóa K9T.</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131 Điều 3 khoản 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Căn lề cột Ghi chú [PB3-5] (Hệ tự đính chính)</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Toàn bộ ô Ghi chú vẫn căn đều hai bên (w:jc = “both”), tạo khoảng trắng lớn giữa các chữ trong cột hẹp. Khi giao PB4, Hệ đã báo “cột Ghi chú căn trái” — thông báo đó SAI: lệnh đổi căn lề trong mã xử lý không có hiệu lực và Hệ đã không kiểm lại thuộc tính trước khi báo. Hệ tự phát hiện và đính chính tại đây.</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Chọn toàn bộ cột Ghi chú (trừ ô tiêu đề) → Align Left (Ctrl+L).</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14 (kỹ thuật trình bày)</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Hiệu lực QĐ 1778/QĐ-CĐKT [PB3-11]</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xếp đúng thứ tự; QĐ 1778 (27/12/2023) không có trong hồ sơ và kho 01-04, ban hành trước QĐ 131 vốn đã giao phòng TH-HC&amp;QT chủ trì mua sắm. Hệ không kết luận hết hiệu lực.</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Phòng TH-HC&amp;QT xác nhận hiệu lực khi thẩm định.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03</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Xác minh số, ngày, trích yếu căn cứ [PB3-12, PB3-7, căn cứ định mức]</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có bản chính để đối chiếu: QĐ 1928/QĐ-CĐKT ngày 03/9/2026; trích yếu KH 853/KH-CĐKT (hồ sơ chỉ có Phụ lục I); số, ký hiệu 1101/PC-CĐKT (tệp định mức đã ký không ghi số; số chỉ có ở tên tệp).</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Phòng QLĐT&amp;BĐCL, Văn thư xác nhận trên sổ đăng ký và bản chính trước khi ký.</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597 mục 6; Skill 31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TS người học, thời gian thực hiện [PB3-13]</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có tài liệu xác minh sĩ số 11 và ngày 15/10/2026 (KH 853 không có ngày theo mô đun).</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Phòng QLĐT&amp;BĐCL xác nhận theo danh sách lớp, thời khóa biểu.</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131 Điều 3 khoản 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khoản bắt buộc — Thủ tục thẩm định [PB3-14]</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Thuộc phiếu trình; không xếp là lỗi văn bản.</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Phiếu trình có đủ ý kiến thẩm định của 3 phòng và lãnh đạo khoa.</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131; QĐ 1334 Điều 22 khoản 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val="0"/>
          <w:i w:val="0"/>
          <w:sz w:val="28"/>
        </w:rPr>
        <w:t>✓ Thể thức (TB 597): phần đầu đúng mẫu 2.1 (Quốc hiệu cỡ 13, Tiêu ngữ có gạch nối, “Số:” và ngày để trống đủ 6 ký tự, địa danh Quảng Ngãi nghiêng cỡ 14); tên loại, trích yếu đậm cỡ 14; 6 căn cứ thụt dòng 1,27 cm, chữ nghiêng, kết thúc dấu chấm; nội dung cỡ 14, cách đoạn 6 pt, cách dòng 1,2; lề trang chính và Phụ lục 2-2-2-3 cm; nơi nhận, khối ký, chữ viết tắt phòng đúng mục 3.1c, 9.</w:t>
      </w:r>
    </w:p>
    <w:p>
      <w:pPr>
        <w:spacing w:after="60" w:line="276" w:lineRule="auto"/>
        <w:jc w:val="both"/>
      </w:pPr>
      <w:r>
        <w:rPr>
          <w:rFonts w:ascii="Times New Roman" w:hAnsi="Times New Roman"/>
          <w:b w:val="0"/>
          <w:i w:val="0"/>
          <w:sz w:val="28"/>
        </w:rPr>
        <w:t>✓ Căn cứ: đủ và xếp đúng trình tự thời gian (QĐ 1778 → QĐ 131 → QĐ 1928 → QĐ 1936 → KH 853 → Định mức); có căn cứ kế hoạch đào tạo năm học theo mẫu BM/TCKT/02; căn cứ định mức nêu đúng bản chất (định mức được Hiệu trưởng phê duyệt 08/10/2026, phiếu chuyển là thông tin kèm theo); QĐ 131, QĐ 1936, KH 853 đúng số, ngày.</w:t>
      </w:r>
    </w:p>
    <w:p>
      <w:pPr>
        <w:spacing w:after="60" w:line="276" w:lineRule="auto"/>
        <w:jc w:val="both"/>
      </w:pPr>
      <w:r>
        <w:rPr>
          <w:rFonts w:ascii="Times New Roman" w:hAnsi="Times New Roman"/>
          <w:b w:val="0"/>
          <w:i w:val="0"/>
          <w:sz w:val="28"/>
        </w:rPr>
        <w:t>✓ Tổ chức thực hiện: 4 đơn vị đều “phối hợp với” thống nhất; tên khoa đúng; khoa có đủ trách nhiệm tiếp nhận, quản lý, cấp phát, lập biên bản; phòng TH-HC&amp;QT có đủ khảo sát giá, dự trù, mua sắm, nhập kho, phối hợp cấp phát — khớp QĐ 131 Điều 4, 5, 6 và QĐ 1334 Điều 22 khoản 1.</w:t>
      </w:r>
    </w:p>
    <w:p>
      <w:pPr>
        <w:spacing w:after="60" w:line="276" w:lineRule="auto"/>
        <w:jc w:val="both"/>
      </w:pPr>
      <w:r>
        <w:rPr>
          <w:rFonts w:ascii="Times New Roman" w:hAnsi="Times New Roman"/>
          <w:b w:val="0"/>
          <w:i w:val="0"/>
          <w:sz w:val="28"/>
        </w:rPr>
        <w:t>✓ Phụ lục: mô đun Thiết kế thực đơn (511520553), 49 giờ (TH: 32), học kỳ I khớp CTĐT và kế hoạch đào tạo; 14 vật tư đúng tên, ĐVT, yêu cầu kỹ thuật theo định mức; tiêu đề khớp trích yếu; bảng 24,0 cm vừa vùng in; 15/15 dòng không ngắt qua trang; có dòng kết thúc theo mẫu.</w:t>
      </w:r>
    </w:p>
    <w:p>
      <w:pPr>
        <w:spacing w:after="60" w:line="276" w:lineRule="auto"/>
        <w:jc w:val="both"/>
      </w:pPr>
      <w:r>
        <w:rPr>
          <w:rFonts w:ascii="Times New Roman" w:hAnsi="Times New Roman"/>
          <w:b w:val="0"/>
          <w:i w:val="0"/>
          <w:sz w:val="28"/>
        </w:rPr>
        <w:t>✓ Điều khoản bắt buộc: phân công đủ đơn vị; người ký Hiệu trưởng đúng thẩm quyền theo QĐ 131 Điều 3 khoản 4.</w:t>
      </w:r>
    </w:p>
    <w:p>
      <w:pPr>
        <w:spacing w:before="200" w:after="80"/>
      </w:pPr>
      <w:r>
        <w:rPr>
          <w:rFonts w:ascii="Times New Roman" w:hAnsi="Times New Roman"/>
          <w:b/>
          <w:i w:val="0"/>
          <w:color w:val="7030A0"/>
          <w:sz w:val="28"/>
        </w:rPr>
        <w:t>PHẦN IV. BẢNG TỔNG HỢP</w:t>
      </w:r>
    </w:p>
    <w:p>
      <w:pPr>
        <w:spacing w:before="80" w:after="40"/>
      </w:pPr>
      <w:r>
        <w:rPr>
          <w:rFonts w:ascii="Times New Roman" w:hAnsi="Times New Roman"/>
          <w:b/>
          <w:i/>
          <w:sz w:val="28"/>
        </w:rPr>
        <w:t>Bảng 1 — Số vấn đề theo nhóm nội dung (PB4)</w:t>
      </w:r>
    </w:p>
    <w:tbl>
      <w:tblPr>
        <w:tblStyle w:val="TableGrid"/>
        <w:tblW w:type="auto" w:w="0"/>
        <w:jc w:val="center"/>
        <w:tblLayout w:type="fixed"/>
        <w:tblLook w:firstColumn="1" w:firstRow="1" w:lastColumn="0" w:lastRow="0" w:noHBand="0" w:noVBand="1" w:val="04A0"/>
      </w:tblPr>
      <w:tblGrid>
        <w:gridCol w:w="4536"/>
        <w:gridCol w:w="2268"/>
        <w:gridCol w:w="7371"/>
      </w:tblGrid>
      <w:tr>
        <w:trPr>
          <w:cantSplit w:val="0"/>
          <w:tblHeader w:val="1"/>
        </w:trPr>
        <w:tc>
          <w:tcPr>
            <w:tcW w:type="dxa" w:w="45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w:t>
            </w:r>
          </w:p>
        </w:tc>
        <w:tc>
          <w:tcPr>
            <w:tcW w:type="dxa" w:w="226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VẤN ĐỀ</w:t>
            </w:r>
          </w:p>
        </w:tc>
        <w:tc>
          <w:tcPr>
            <w:tcW w:type="dxa" w:w="7370"/>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THỨ TỰ TẠI MỤC II.B</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Thể thức</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Nội dung</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1, 2, 3, 5, 6, 7</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Điều khoản bắt buộc</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8</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Chất lượng soạn thảo</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8</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r>
    </w:tbl>
    <w:p>
      <w:pPr>
        <w:spacing w:after="40"/>
      </w:pPr>
    </w:p>
    <w:p>
      <w:pPr>
        <w:spacing w:before="80" w:after="40"/>
      </w:pPr>
      <w:r>
        <w:rPr>
          <w:rFonts w:ascii="Times New Roman" w:hAnsi="Times New Roman"/>
          <w:b/>
          <w:i/>
          <w:sz w:val="28"/>
        </w:rPr>
        <w:t>Bảng 2 — Số vấn đề theo mức độ (PB4)</w:t>
      </w:r>
    </w:p>
    <w:tbl>
      <w:tblPr>
        <w:tblStyle w:val="TableGrid"/>
        <w:tblW w:type="auto" w:w="0"/>
        <w:jc w:val="center"/>
        <w:tblLayout w:type="fixed"/>
        <w:tblLook w:firstColumn="1" w:firstRow="1" w:lastColumn="0" w:lastRow="0" w:noHBand="0" w:noVBand="1" w:val="04A0"/>
      </w:tblPr>
      <w:tblGrid>
        <w:gridCol w:w="4536"/>
        <w:gridCol w:w="2268"/>
        <w:gridCol w:w="7371"/>
      </w:tblGrid>
      <w:tr>
        <w:trPr>
          <w:cantSplit w:val="0"/>
          <w:tblHeader w:val="1"/>
        </w:trPr>
        <w:tc>
          <w:tcPr>
            <w:tcW w:type="dxa" w:w="45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ĐỘ</w:t>
            </w:r>
          </w:p>
        </w:tc>
        <w:tc>
          <w:tcPr>
            <w:tcW w:type="dxa" w:w="226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VẤN ĐỀ</w:t>
            </w:r>
          </w:p>
        </w:tc>
        <w:tc>
          <w:tcPr>
            <w:tcW w:type="dxa" w:w="7370"/>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THỨ TỰ TẠI MỤC II.B</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1 – Bắt buộc sửa</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 – Cần sửa</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 2 (xử lý qua phiếu trình)</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 – Nên sửa</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3, 4</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 – Góp ý nâng cao</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5, 6, 7, 8</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8</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r>
    </w:tbl>
    <w:p>
      <w:pPr>
        <w:spacing w:after="40"/>
      </w:pPr>
    </w:p>
    <w:p>
      <w:pPr>
        <w:spacing w:before="80" w:after="40"/>
      </w:pPr>
      <w:r>
        <w:rPr>
          <w:rFonts w:ascii="Times New Roman" w:hAnsi="Times New Roman"/>
          <w:b/>
          <w:i/>
          <w:sz w:val="28"/>
        </w:rPr>
        <w:t>Bảng 3 — Diễn biến qua các bản</w:t>
      </w:r>
    </w:p>
    <w:tbl>
      <w:tblPr>
        <w:tblStyle w:val="TableGrid"/>
        <w:tblW w:type="auto" w:w="0"/>
        <w:jc w:val="center"/>
        <w:tblLayout w:type="fixed"/>
        <w:tblLook w:firstColumn="1" w:firstRow="1" w:lastColumn="0" w:lastRow="0" w:noHBand="0" w:noVBand="1" w:val="04A0"/>
      </w:tblPr>
      <w:tblGrid>
        <w:gridCol w:w="3402"/>
        <w:gridCol w:w="1134"/>
        <w:gridCol w:w="1134"/>
        <w:gridCol w:w="1134"/>
        <w:gridCol w:w="7371"/>
      </w:tblGrid>
      <w:tr>
        <w:trPr>
          <w:cantSplit w:val="0"/>
          <w:tblHeader w:val="1"/>
        </w:trPr>
        <w:tc>
          <w:tcPr>
            <w:tcW w:type="dxa" w:w="3402"/>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CHỈ TIÊU</w:t>
            </w:r>
          </w:p>
        </w:tc>
        <w:tc>
          <w:tcPr>
            <w:tcW w:type="dxa" w:w="113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PB2</w:t>
            </w:r>
          </w:p>
        </w:tc>
        <w:tc>
          <w:tcPr>
            <w:tcW w:type="dxa" w:w="113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PB3</w:t>
            </w:r>
          </w:p>
        </w:tc>
        <w:tc>
          <w:tcPr>
            <w:tcW w:type="dxa" w:w="113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PB4</w:t>
            </w:r>
          </w:p>
        </w:tc>
        <w:tc>
          <w:tcPr>
            <w:tcW w:type="dxa" w:w="7370"/>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GHI CHÚ</w:t>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số vấn đề</w:t>
            </w:r>
          </w:p>
        </w:tc>
        <w:tc>
          <w:tcPr>
            <w:tcW w:type="dxa" w:w="113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14</w:t>
            </w:r>
          </w:p>
        </w:tc>
        <w:tc>
          <w:tcPr>
            <w:tcW w:type="dxa" w:w="113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15</w:t>
            </w:r>
          </w:p>
        </w:tc>
        <w:tc>
          <w:tcPr>
            <w:tcW w:type="dxa" w:w="113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8</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PB4 giảm 7 vấn đề</w:t>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c>
          <w:tcPr>
            <w:tcW w:type="dxa" w:w="113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13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13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Còn lại đều xử lý qua phiếu trình</w:t>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c>
          <w:tcPr>
            <w:tcW w:type="dxa" w:w="113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7</w:t>
            </w:r>
          </w:p>
        </w:tc>
        <w:tc>
          <w:tcPr>
            <w:tcW w:type="dxa" w:w="113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8</w:t>
            </w:r>
          </w:p>
        </w:tc>
        <w:tc>
          <w:tcPr>
            <w:tcW w:type="dxa" w:w="113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 giữ nguyên theo chỉ đạo, 1 căn lề</w:t>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c>
          <w:tcPr>
            <w:tcW w:type="dxa" w:w="113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w:t>
            </w:r>
          </w:p>
        </w:tc>
        <w:tc>
          <w:tcPr>
            <w:tcW w:type="dxa" w:w="113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w:t>
            </w:r>
          </w:p>
        </w:tc>
        <w:tc>
          <w:tcPr>
            <w:tcW w:type="dxa" w:w="113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Chủ yếu là xác minh tài liệu</w:t>
            </w:r>
          </w:p>
        </w:tc>
      </w:tr>
    </w:tbl>
    <w:p>
      <w:pPr>
        <w:spacing w:after="40"/>
      </w:pPr>
    </w:p>
    <w:p>
      <w:pPr>
        <w:spacing w:before="200" w:after="80"/>
      </w:pPr>
      <w:r>
        <w:rPr>
          <w:rFonts w:ascii="Times New Roman" w:hAnsi="Times New Roman"/>
          <w:b/>
          <w:i w:val="0"/>
          <w:color w:val="7030A0"/>
          <w:sz w:val="28"/>
        </w:rPr>
        <w:t>PHẦN V. THẨM ĐỊNH CHUYÊN MÔN</w:t>
      </w:r>
    </w:p>
    <w:p>
      <w:pPr>
        <w:spacing w:after="60" w:line="276" w:lineRule="auto"/>
        <w:jc w:val="both"/>
      </w:pPr>
      <w:r>
        <w:rPr>
          <w:rFonts w:ascii="Times New Roman" w:hAnsi="Times New Roman"/>
          <w:b w:val="0"/>
          <w:i w:val="0"/>
          <w:sz w:val="28"/>
        </w:rPr>
        <w:t>1. Phạm vi thẩm định: dự thảo chứa số lượng vật tư tính từ định mức và sĩ số nên Phần V được kích hoạt. Hệ đọc trực tiếp cột (8) “Thiết kế thực đơn” và cột (7) “Định mức cho khóa học” trong tệp định mức đã ký, tính nhu cầu cho 11 người học và so với số đề xuất.</w:t>
      </w:r>
    </w:p>
    <w:p>
      <w:pPr>
        <w:spacing w:after="60" w:line="276" w:lineRule="auto"/>
        <w:jc w:val="both"/>
      </w:pPr>
      <w:r>
        <w:rPr>
          <w:rFonts w:ascii="Times New Roman" w:hAnsi="Times New Roman"/>
          <w:b w:val="0"/>
          <w:i w:val="0"/>
          <w:sz w:val="28"/>
        </w:rPr>
        <w:t>2. Giới hạn: Hệ KHÔNG thẩm định được giá, kinh phí (dự thảo không nêu dự toán; QĐ 131 Điều 3 khoản 2 yêu cầu không vượt mức kinh phí trung bình/người học), sĩ số thực tế, số tồn kho kỳ trước và tính hợp lý của mức tiêu hao.</w:t>
      </w:r>
    </w:p>
    <w:p>
      <w:pPr>
        <w:spacing w:after="60" w:line="276" w:lineRule="auto"/>
        <w:jc w:val="both"/>
      </w:pPr>
      <w:r>
        <w:rPr>
          <w:rFonts w:ascii="Times New Roman" w:hAnsi="Times New Roman"/>
          <w:b w:val="0"/>
          <w:i w:val="0"/>
          <w:sz w:val="28"/>
        </w:rPr>
        <w:t>3. Kết quả đối chiếu số lượng:</w:t>
      </w:r>
    </w:p>
    <w:tbl>
      <w:tblPr>
        <w:tblStyle w:val="TableGrid"/>
        <w:tblW w:type="auto" w:w="0"/>
        <w:jc w:val="center"/>
        <w:tblLayout w:type="fixed"/>
        <w:tblLook w:firstColumn="1" w:firstRow="1" w:lastColumn="0" w:lastRow="0" w:noHBand="0" w:noVBand="1" w:val="04A0"/>
      </w:tblPr>
      <w:tblGrid>
        <w:gridCol w:w="567"/>
        <w:gridCol w:w="3061"/>
        <w:gridCol w:w="2154"/>
        <w:gridCol w:w="1927"/>
        <w:gridCol w:w="1360"/>
        <w:gridCol w:w="1530"/>
        <w:gridCol w:w="3798"/>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306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VẬT TƯ (ĐVT)</w:t>
            </w:r>
          </w:p>
        </w:tc>
        <w:tc>
          <w:tcPr>
            <w:tcW w:type="dxa" w:w="215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ĐỊNH MỨC/ NGƯỜI</w:t>
            </w:r>
          </w:p>
        </w:tc>
        <w:tc>
          <w:tcPr>
            <w:tcW w:type="dxa" w:w="19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NHU CẦU 11 NGƯỜI</w:t>
            </w:r>
          </w:p>
        </w:tc>
        <w:tc>
          <w:tcPr>
            <w:tcW w:type="dxa" w:w="136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ĐỀ XUẤT</w:t>
            </w:r>
          </w:p>
        </w:tc>
        <w:tc>
          <w:tcPr>
            <w:tcW w:type="dxa" w:w="153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CHÊNH LỆCH</w:t>
            </w:r>
          </w:p>
        </w:tc>
        <w:tc>
          <w:tcPr>
            <w:tcW w:type="dxa" w:w="379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ĐÁNH GIÁ</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Bút dạ (Chiếc)</w:t>
            </w:r>
          </w:p>
        </w:tc>
        <w:tc>
          <w:tcPr>
            <w:tcW w:type="dxa" w:w="215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0,208</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2,288</w:t>
            </w:r>
          </w:p>
        </w:tc>
        <w:tc>
          <w:tcPr>
            <w:tcW w:type="dxa" w:w="13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-0,288</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Thấp hơn định 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Bút viết (Hộp)</w:t>
            </w:r>
          </w:p>
        </w:tc>
        <w:tc>
          <w:tcPr>
            <w:tcW w:type="dxa" w:w="215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0,003</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0,033</w:t>
            </w:r>
          </w:p>
        </w:tc>
        <w:tc>
          <w:tcPr>
            <w:tcW w:type="dxa" w:w="13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0,03</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-0,003</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Khớp (làm tròn)</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Đinh ghim (Hộp)</w:t>
            </w:r>
          </w:p>
        </w:tc>
        <w:tc>
          <w:tcPr>
            <w:tcW w:type="dxa" w:w="215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0,065</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0,715</w:t>
            </w:r>
          </w:p>
        </w:tc>
        <w:tc>
          <w:tcPr>
            <w:tcW w:type="dxa" w:w="13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0,7</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-0,015</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Thấp hơn định 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Ghim kẹp (Chiếc)</w:t>
            </w:r>
          </w:p>
        </w:tc>
        <w:tc>
          <w:tcPr>
            <w:tcW w:type="dxa" w:w="215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1,197</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13,167</w:t>
            </w:r>
          </w:p>
        </w:tc>
        <w:tc>
          <w:tcPr>
            <w:tcW w:type="dxa" w:w="13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13</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-0,167</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Thấp hơn định 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Giấy A1 (Tờ)</w:t>
            </w:r>
          </w:p>
        </w:tc>
        <w:tc>
          <w:tcPr>
            <w:tcW w:type="dxa" w:w="215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0,423</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4,653</w:t>
            </w:r>
          </w:p>
        </w:tc>
        <w:tc>
          <w:tcPr>
            <w:tcW w:type="dxa" w:w="13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+0,347</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Vượt định 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Giấy A4 (Ram)</w:t>
            </w:r>
          </w:p>
        </w:tc>
        <w:tc>
          <w:tcPr>
            <w:tcW w:type="dxa" w:w="215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0,023</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0,253</w:t>
            </w:r>
          </w:p>
        </w:tc>
        <w:tc>
          <w:tcPr>
            <w:tcW w:type="dxa" w:w="13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0,3</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+0,047</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Vượt định 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Giấy note (Tệp)</w:t>
            </w:r>
          </w:p>
        </w:tc>
        <w:tc>
          <w:tcPr>
            <w:tcW w:type="dxa" w:w="215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0,065</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0,715</w:t>
            </w:r>
          </w:p>
        </w:tc>
        <w:tc>
          <w:tcPr>
            <w:tcW w:type="dxa" w:w="13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+0,285</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Vượt định 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Mẫu sổ order (Bộ)</w:t>
            </w:r>
          </w:p>
        </w:tc>
        <w:tc>
          <w:tcPr>
            <w:tcW w:type="dxa" w:w="215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0,035</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0,385</w:t>
            </w:r>
          </w:p>
        </w:tc>
        <w:tc>
          <w:tcPr>
            <w:tcW w:type="dxa" w:w="13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+0,615</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Vượt định 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Mẫu sổ sách nhà hàng (Bộ)</w:t>
            </w:r>
          </w:p>
        </w:tc>
        <w:tc>
          <w:tcPr>
            <w:tcW w:type="dxa" w:w="215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0,035</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0,385</w:t>
            </w:r>
          </w:p>
        </w:tc>
        <w:tc>
          <w:tcPr>
            <w:tcW w:type="dxa" w:w="13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+0,615</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Vượt định 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Mực in (Hộp)</w:t>
            </w:r>
          </w:p>
        </w:tc>
        <w:tc>
          <w:tcPr>
            <w:tcW w:type="dxa" w:w="215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0,008</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0,088</w:t>
            </w:r>
          </w:p>
        </w:tc>
        <w:tc>
          <w:tcPr>
            <w:tcW w:type="dxa" w:w="13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0,09</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+0,002</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Khớp (làm tròn)</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Phấn (Hộp)</w:t>
            </w:r>
          </w:p>
        </w:tc>
        <w:tc>
          <w:tcPr>
            <w:tcW w:type="dxa" w:w="215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0,033</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0,363</w:t>
            </w:r>
          </w:p>
        </w:tc>
        <w:tc>
          <w:tcPr>
            <w:tcW w:type="dxa" w:w="13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0,4</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+0,037</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Vượt định 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12</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Pin (Đôi)</w:t>
            </w:r>
          </w:p>
        </w:tc>
        <w:tc>
          <w:tcPr>
            <w:tcW w:type="dxa" w:w="215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0,052</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0,572</w:t>
            </w:r>
          </w:p>
        </w:tc>
        <w:tc>
          <w:tcPr>
            <w:tcW w:type="dxa" w:w="13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+0,428</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Vượt định 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13</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Túi thuốc sơ cứu (Bộ)</w:t>
            </w:r>
          </w:p>
        </w:tc>
        <w:tc>
          <w:tcPr>
            <w:tcW w:type="dxa" w:w="215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0,006</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0,066</w:t>
            </w:r>
          </w:p>
        </w:tc>
        <w:tc>
          <w:tcPr>
            <w:tcW w:type="dxa" w:w="13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+0,934</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Vượt định 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14</w:t>
            </w:r>
          </w:p>
        </w:tc>
        <w:tc>
          <w:tcPr>
            <w:tcW w:type="dxa" w:w="30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Thực đơn (Cái)</w:t>
            </w:r>
          </w:p>
        </w:tc>
        <w:tc>
          <w:tcPr>
            <w:tcW w:type="dxa" w:w="215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0,37</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4,07</w:t>
            </w:r>
          </w:p>
        </w:tc>
        <w:tc>
          <w:tcPr>
            <w:tcW w:type="dxa" w:w="136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-0,07</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Thấp hơn định mức</w:t>
            </w:r>
          </w:p>
        </w:tc>
      </w:tr>
    </w:tbl>
    <w:p>
      <w:pPr>
        <w:spacing w:after="40"/>
      </w:pPr>
    </w:p>
    <w:p>
      <w:pPr>
        <w:spacing w:after="60" w:line="276" w:lineRule="auto"/>
        <w:jc w:val="both"/>
      </w:pPr>
      <w:r>
        <w:rPr>
          <w:rFonts w:ascii="Times New Roman" w:hAnsi="Times New Roman"/>
          <w:b w:val="0"/>
          <w:i w:val="0"/>
          <w:sz w:val="28"/>
        </w:rPr>
        <w:t>Kết quả: 8 vật tư vượt, 4 vật tư thấp hơn, 2 vật tư khớp sau làm tròn (Bút viết 0,03/0,033; Mực in 0,09/0,088). Túi thuốc sơ cứu: định mức toàn khóa 0,77 bộ, đề xuất 1 bộ dùng cả khóa. Các vật tư làm tròn xuống (Bút dạ, Đinh ghim, Ghim kẹp, Thực đơn) có thể thiếu nhẹ so với định mức, khoa cần xác nhận đủ cho thực hành.</w:t>
      </w:r>
    </w:p>
    <w:p>
      <w:pPr>
        <w:spacing w:after="60" w:line="276" w:lineRule="auto"/>
        <w:jc w:val="both"/>
      </w:pPr>
      <w:r>
        <w:rPr>
          <w:rFonts w:ascii="Times New Roman" w:hAnsi="Times New Roman"/>
          <w:b w:val="0"/>
          <w:i w:val="0"/>
          <w:sz w:val="28"/>
        </w:rPr>
        <w:t>4. Đề nghị thẩm định bổ sung: phòng TC-KT xác nhận kinh phí trong mức phân khai và cách xử lý phần làm tròn; phòng TH-HC&amp;QT xác định số tồn (nhất là mực in dùng chung) để trừ khi lập dự trù theo QĐ 131 Điều 5 khoản 2; phòng QLĐT&amp;BĐCL xác nhận sĩ số, thời gian thực hiện theo thời khóa biểu.</w:t>
      </w:r>
    </w:p>
    <w:p>
      <w:pPr>
        <w:spacing w:before="200" w:after="80"/>
      </w:pPr>
      <w:r>
        <w:rPr>
          <w:rFonts w:ascii="Times New Roman" w:hAnsi="Times New Roman"/>
          <w:b/>
          <w:i w:val="0"/>
          <w:color w:val="7030A0"/>
          <w:sz w:val="28"/>
        </w:rPr>
        <w:t>PHẦN VI. ĐÁNH GIÁ TỔNG THỂ</w:t>
      </w:r>
    </w:p>
    <w:p>
      <w:pPr>
        <w:spacing w:after="60" w:line="276" w:lineRule="auto"/>
        <w:jc w:val="both"/>
      </w:pPr>
      <w:r>
        <w:rPr>
          <w:rFonts w:ascii="Times New Roman" w:hAnsi="Times New Roman"/>
          <w:b w:val="0"/>
          <w:i w:val="0"/>
          <w:sz w:val="28"/>
        </w:rPr>
        <w:t>1. Mức độ tuân thủ: Đạt có điều kiện. Văn bản đã đúng thể thức, căn cứ đủ và đúng trình tự, phân công thống nhất với QĐ 131; không còn lỗi câu chữ. Hai vấn đề Mức 2 còn lại không nằm ở câu chữ mà ở hồ sơ trình: số lượng vượt định mức (đơn vị soạn thảo chủ động giữ) và thời điểm lập muộn.</w:t>
      </w:r>
    </w:p>
    <w:p>
      <w:pPr>
        <w:spacing w:after="60" w:line="276" w:lineRule="auto"/>
        <w:jc w:val="both"/>
      </w:pPr>
      <w:r>
        <w:rPr>
          <w:rFonts w:ascii="Times New Roman" w:hAnsi="Times New Roman"/>
          <w:b w:val="0"/>
          <w:i w:val="0"/>
          <w:sz w:val="28"/>
        </w:rPr>
        <w:t>2. Mức độ sẵn sàng: Có thể trình ký sau khi (a) căn trái cột Ghi chú (vấn đề 4, sửa trong 1 phút) và (b) phiếu trình kèm ý kiến phòng TC-KT về số lượng làm tròn, giải trình thời điểm lập, ý kiến thẩm định của các phòng.</w:t>
      </w:r>
    </w:p>
    <w:p>
      <w:pPr>
        <w:spacing w:before="200" w:after="80"/>
      </w:pPr>
      <w:r>
        <w:rPr>
          <w:rFonts w:ascii="Times New Roman" w:hAnsi="Times New Roman"/>
          <w:b/>
          <w:i w:val="0"/>
          <w:color w:val="7030A0"/>
          <w:sz w:val="28"/>
        </w:rPr>
        <w:t>PHẦN VII. KẾT LUẬN VÀ THỨ TỰ XỬ LÝ</w:t>
      </w:r>
    </w:p>
    <w:p>
      <w:pPr>
        <w:spacing w:after="60" w:line="276" w:lineRule="auto"/>
        <w:jc w:val="both"/>
      </w:pPr>
      <w:r>
        <w:rPr>
          <w:rFonts w:ascii="Times New Roman" w:hAnsi="Times New Roman"/>
          <w:b w:val="0"/>
          <w:i w:val="0"/>
          <w:sz w:val="28"/>
        </w:rPr>
        <w:t>Ưu điểm: PB4 đã xử lý dứt điểm toàn bộ lỗi câu chữ, căn cứ và trình bày nêu ở báo cáo PB3, trừ căn lề cột Ghi chú.</w:t>
      </w:r>
    </w:p>
    <w:p>
      <w:pPr>
        <w:spacing w:after="60" w:line="276" w:lineRule="auto"/>
        <w:jc w:val="both"/>
      </w:pPr>
      <w:r>
        <w:rPr>
          <w:rFonts w:ascii="Times New Roman" w:hAnsi="Times New Roman"/>
          <w:b w:val="0"/>
          <w:i w:val="0"/>
          <w:sz w:val="28"/>
        </w:rPr>
        <w:t>Thứ tự xử lý: (1) Căn trái cột Ghi chú — vấn đề 4; (2) Hoàn thiện phiếu trình: ý kiến TC-KT về số lượng và Túi thuốc sơ cứu, giải trình thời điểm lập, ý kiến thẩm định — vấn đề 1, 2, 3, 8; (3) Văn thư, phòng QLĐT&amp;BĐCL, phòng TH-HC&amp;QT xác nhận các căn cứ và số liệu chưa có bản chính — vấn đề 5, 6, 7.</w:t>
      </w:r>
    </w:p>
    <w:p>
      <w:pPr>
        <w:spacing w:after="60" w:line="276" w:lineRule="auto"/>
        <w:jc w:val="both"/>
      </w:pPr>
      <w:r>
        <w:rPr>
          <w:rFonts w:ascii="Times New Roman" w:hAnsi="Times New Roman"/>
          <w:b w:val="0"/>
          <w:i w:val="0"/>
          <w:sz w:val="28"/>
        </w:rPr>
        <w:t>Rủi ro nếu không xử lý: Mức 2 — khó giải trình phần vượt định mức khi thanh quyết toán; Mức 3 — trình bày Phụ lục kém gọn.</w:t>
      </w:r>
    </w:p>
    <w:p>
      <w:pPr>
        <w:spacing w:after="60" w:line="276" w:lineRule="auto"/>
        <w:jc w:val="both"/>
      </w:pPr>
      <w:r>
        <w:rPr>
          <w:rFonts w:ascii="Times New Roman" w:hAnsi="Times New Roman"/>
          <w:b w:val="0"/>
          <w:i w:val="0"/>
          <w:sz w:val="28"/>
        </w:rPr>
        <w:t>Kiến nghị chung: khoa Kinh tế và Nông Lâm hoàn thiện phiếu trình và chuyển phòng TH-HC&amp;QT chủ trì thẩm định theo QĐ 131 Điều 5 khoản 1.</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 Đã rà soát đủ 4 nhóm tiêu chí trên toàn bộ PB4 (5 trang): đọc văn bản, thuộc tính XML (lề, độ rộng bảng, thuộc tính ngắt dòng, căn lề từng ô), xuất PDF.</w:t>
      </w:r>
    </w:p>
    <w:p>
      <w:pPr>
        <w:spacing w:after="60" w:line="276" w:lineRule="auto"/>
        <w:jc w:val="both"/>
      </w:pPr>
      <w:r>
        <w:rPr>
          <w:rFonts w:ascii="Times New Roman" w:hAnsi="Times New Roman"/>
          <w:b w:val="0"/>
          <w:i w:val="0"/>
          <w:sz w:val="28"/>
        </w:rPr>
        <w:t>☑ Đã đối chiếu tiếp thu đủ 15/15 vấn đề của báo cáo PB3, kiểm lại trực tiếp trên tệp người dùng gửi.</w:t>
      </w:r>
    </w:p>
    <w:p>
      <w:pPr>
        <w:spacing w:after="60" w:line="276" w:lineRule="auto"/>
        <w:jc w:val="both"/>
      </w:pPr>
      <w:r>
        <w:rPr>
          <w:rFonts w:ascii="Times New Roman" w:hAnsi="Times New Roman"/>
          <w:b w:val="0"/>
          <w:i w:val="0"/>
          <w:sz w:val="28"/>
        </w:rPr>
        <w:t>☑ Tự đính chính minh bạch: thông báo “cột Ghi chú căn trái” khi giao PB4 là sai, đã ghi tại vấn đề 4 mục II.B; nguyên nhân là không kiểm lại thuộc tính sau khi sửa — lượt này đã kiểm lại toàn bộ thuộc tính định dạng đã báo cáo.</w:t>
      </w:r>
    </w:p>
    <w:p>
      <w:pPr>
        <w:spacing w:after="60" w:line="276" w:lineRule="auto"/>
        <w:jc w:val="both"/>
      </w:pPr>
      <w:r>
        <w:rPr>
          <w:rFonts w:ascii="Times New Roman" w:hAnsi="Times New Roman"/>
          <w:b w:val="0"/>
          <w:i w:val="0"/>
          <w:sz w:val="28"/>
        </w:rPr>
        <w:t>☑ Nêu rõ giới hạn độc lập: PB4 do Hệ chỉnh sửa; đề nghị người kiểm tra là người khác Hệ xác nhận kết quả.</w:t>
      </w:r>
    </w:p>
    <w:p>
      <w:pPr>
        <w:spacing w:after="60" w:line="276" w:lineRule="auto"/>
        <w:jc w:val="both"/>
      </w:pPr>
      <w:r>
        <w:rPr>
          <w:rFonts w:ascii="Times New Roman" w:hAnsi="Times New Roman"/>
          <w:b w:val="0"/>
          <w:i w:val="0"/>
          <w:sz w:val="28"/>
        </w:rPr>
        <w:t>☑ Tách bạch vấn đề do lựa chọn của đơn vị soạn thảo (giữ số lượng) với lỗi văn bản.</w:t>
      </w:r>
    </w:p>
    <w:p>
      <w:pPr>
        <w:spacing w:after="60" w:line="276" w:lineRule="auto"/>
        <w:jc w:val="both"/>
      </w:pPr>
      <w:r>
        <w:rPr>
          <w:rFonts w:ascii="Times New Roman" w:hAnsi="Times New Roman"/>
          <w:b w:val="0"/>
          <w:i w:val="0"/>
          <w:sz w:val="28"/>
        </w:rPr>
        <w:t>☑ Đã kiểm danh sách dương tính giả; không có hai dòng trùng vấn đề; kiến nghị thống nhất với các báo cáo trước.</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Hồ sơ: (1) Dự thảo “K9T NVNHKS. PB4 ban sach.Ke hoach vat tu giang day thuc hanh mon hoc mo dun ky I nam hoc 2026-2027.docx”; (2) Báo cáo rà soát bản PB3 và dự thảo PB3; (3) hồ sơ căn cứ các lượt trước: QĐ 131/QĐ-CĐKT kèm biểu mẫu, tệp định mức “1101.08.10.2026…xlsx”, Phụ lục KHĐT toàn khóa K9T (1936/QĐ-CĐKT), Phụ lục I KHĐT năm học (853/KH-CĐKT), Khung CTĐT 2026, Phụ lục XII. Kho 01-04: TB 597/TB-CĐKT; Phụ lục kèm NĐ 30/2020/NĐ-CP; QĐ 1334/QĐ-CĐKT. · Công cụ hỗ trợ: Hệ KTC-Ra-Soat-897-v2-Cai-tien (Skill ktc-ra-soat-897, v2.25), chạy ngày 10/10/2026.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[Họ tên, chức danh người kiểm tra – cần điền trước khi sử dụng]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3133</Words>
  <Characters>11390</Characters>
  <Application>Microsoft Macintosh Word</Application>
  <DocSecurity>0</DocSecurity>
  <Lines>0</Lines>
  <Paragraphs>354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