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Kế hoạch đưa học sinh lớp K8T May thời trang, trình độ trung cấp tham gia mô hình đào tạo kép “Một chương trình - Hai địa điểm”, năm 2026, đi học tập tại doanh nghiệp (Chi nhánh Tổng công ty May Nhà Bè - CTCP - Xí nghiệp May Kon Tum) — bản chỉnh sửa, rà soát lần 4</w:t>
      </w:r>
    </w:p>
    <w:p>
      <w:pPr>
        <w:jc w:val="center"/>
      </w:pPr>
      <w:r>
        <w:rPr>
          <w:rFonts w:ascii="Times New Roman" w:hAnsi="Times New Roman"/>
          <w:b w:val="0"/>
          <w:i w:val="0"/>
          <w:sz w:val="26"/>
        </w:rPr>
        <w:t xml:space="preserve">Ngày rà soát: </w:t>
      </w:r>
      <w:r>
        <w:rPr>
          <w:rFonts w:ascii="Times New Roman" w:hAnsi="Times New Roman"/>
          <w:b/>
          <w:i w:val="0"/>
          <w:sz w:val="26"/>
        </w:rPr>
        <w:t>02/10/2026</w:t>
      </w:r>
      <w:r>
        <w:rPr>
          <w:rFonts w:ascii="Times New Roman" w:hAnsi="Times New Roman"/>
          <w:b w:val="0"/>
          <w:i w:val="0"/>
          <w:sz w:val="26"/>
        </w:rPr>
        <w:t xml:space="preserve">  |  Đơn vị soạn thảo: </w:t>
      </w:r>
      <w:r>
        <w:rPr>
          <w:rFonts w:ascii="Times New Roman" w:hAnsi="Times New Roman"/>
          <w:b/>
          <w:i w:val="0"/>
          <w:sz w:val="26"/>
        </w:rPr>
        <w:t>Phòng QLKHCN&amp;HTPT (theo dòng Lưu: VT, QLKHCN)</w:t>
      </w:r>
      <w:r>
        <w:rPr>
          <w:rFonts w:ascii="Times New Roman" w:hAnsi="Times New Roman"/>
          <w:b w:val="0"/>
          <w:i w:val="0"/>
          <w:sz w:val="26"/>
        </w:rPr>
        <w:t xml:space="preserve">  |  Thẩm quyền: </w:t>
      </w:r>
      <w:r>
        <w:rPr>
          <w:rFonts w:ascii="Times New Roman" w:hAnsi="Times New Roman"/>
          <w:b/>
          <w:i w:val="0"/>
          <w:sz w:val="26"/>
        </w:rPr>
        <w:t>KT. Hiệu trưởng – Phó 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NĐ 30/2020/NĐ-CP (Phụ lục I) và TB 597/TB-CĐKT ngày 19/5/2026 (không đổi so với lần 1): mẫu đầu 2.1 TB 597, Quốc hiệu – Tiêu ngữ, ký hiệu /KH-CĐKT không chứa năm, ký thay “KT.”.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đưa học sinh đi học tập tại doanh nghiệp, kèm 01 Phụ lục danh sách 29 học sinh. Không có tracked changes, comment. So với bản lần 1, chỉ thay đổi 6 đoạn: Mục I đoạn 2; tên Mục II; Mục II.3 gạch đầu dòng 3; Mục IV.1 gạch đầu dòng 2; Mục IV.4; tên Phụ lục (đã so sánh từng đoạn văn, định dạng đoạn và thuộc tính chữ; bảng đầu, căn cứ, Nơi nhận, chữ ký, danh sách học sinh không đổi).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KT. Hiệu trưởng – Phó Hiệu trưởng Nguyễn Trung Hiếu ký; đơn vị soạn thảo: Phòng QLKHCN&amp;HTPT (dòng Lưu: VT, QLKHCN).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đã chỉnh sửa “Ke hoach dua HS lop K8T May thoi trang di hoc tap tai DN mo hinh 1 chuong trinh 2 dia diem 2026.docx” (nhận lần 4, ngày 02/10/2026); bản dự thảo lần 1 (để so sánh); báo cáo rà soát lần 1, 2, 3 ngày 02/10/2026; Hợp đồng “0110 XNMKT. HD LKDT 1CT 2 dia diem 2026_dieu-chinh-Final.docx”; 02-KTC-Regulations: TB 597/TB-CĐKT, QĐ 1334/QĐ-CĐKT; PA 01/PA-CĐKT; 04-Good-Documents: KH 660/KH-CĐKT; văn bản cùng loại đã ban hành: KH 426/KH-CĐKT; 01-Legal-Database: Luật Bảo vệ dữ liệu cá nhân số 91/2025/QH15.</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Tiếp tục áp dụng các tiền đề đã thống nhất ở lần 2, lần 3: (1) bốn căn cứ QĐ 945, KH 930, KH 970, HĐ 377 đã được người dùng xác minh chính xác; (2) các cách gọi tên doanh nghiệp đều chỉ Xí nghiệp May Kon Tum, đã được chấp thuận; (3) kế hoạch đưa đi chỉ cần giờ xuất phát, thời gian học tập theo KH 970 và Hợp đồng; (4) nhà trường chủ động đưa, đón học sinh, HĐ Điều 5 khoản 2 chỉ là hỗ trợ; (5) danh sách học sinh chỉ cần đúng họ tên và lớp; (6) văn bản điện tử ký số — chưa có số, ngày, Phụ lục không có dòng “Kèm theo”: không bắt lỗi.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02/10/2026. Không cần tra cứu Internet: các nguồn liên quan đều là văn bản nội bộ hoặc đã có trong kho 01.</w:t>
            </w:r>
          </w:p>
        </w:tc>
      </w:tr>
    </w:tbl>
    <w:p>
      <w:pPr>
        <w:spacing w:after="40"/>
      </w:pPr>
    </w:p>
    <w:p>
      <w:pPr>
        <w:spacing w:before="200" w:after="80"/>
      </w:pPr>
      <w:r>
        <w:rPr>
          <w:rFonts w:ascii="Times New Roman" w:hAnsi="Times New Roman"/>
          <w:b/>
          <w:i w:val="0"/>
          <w:color w:val="7030A0"/>
          <w:sz w:val="28"/>
        </w:rPr>
        <w:t>PHẦN II. KẾT QUẢ RÀ SOÁT CHI TIẾT</w:t>
      </w:r>
    </w:p>
    <w:p>
      <w:pPr>
        <w:spacing w:after="60" w:line="276" w:lineRule="auto"/>
        <w:ind w:firstLine="567"/>
        <w:jc w:val="both"/>
      </w:pPr>
      <w:r>
        <w:rPr>
          <w:rFonts w:ascii="Times New Roman" w:hAnsi="Times New Roman"/>
          <w:b w:val="0"/>
          <w:i w:val="0"/>
          <w:sz w:val="28"/>
        </w:rPr>
        <w:t>Chỉ liệt kê vấn đề còn mở ở bản chỉnh sửa. Không phát hiện vấn đề mới; không còn vấn đề Mức 1, Mức 2. Ký hiệu “(lần 3: số …)” chỉ vấn đề tương ứng trong báo cáo rà soát lần 3. Các vấn đề đã được tiếp thu ở bản này liệt kê tại Phần III.</w:t>
      </w:r>
    </w:p>
    <w:tbl>
      <w:tblPr>
        <w:tblStyle w:val="TableGrid"/>
        <w:tblW w:type="auto" w:w="0"/>
        <w:jc w:val="center"/>
        <w:tblLayout w:type="fixed"/>
        <w:tblLook w:firstColumn="1" w:firstRow="1" w:lastColumn="0" w:lastRow="0" w:noHBand="0" w:noVBand="1" w:val="04A0"/>
      </w:tblPr>
      <w:tblGrid>
        <w:gridCol w:w="567"/>
        <w:gridCol w:w="2381"/>
        <w:gridCol w:w="5499"/>
        <w:gridCol w:w="3118"/>
        <w:gridCol w:w="181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38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11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81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br/>
              <w:t>(lần 3: số 2) Mục II, ba tiểu mục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mục đã sửa thành “ĐỊA ĐIỂM, THỜI GIAN, THÀNH PHẦN THAM GIA”, khớp thứ tự tiểu mục. Ba tiểu mục vẫn dùng đánh số tự động (List Paragraph, thụt trái 1,9 cm, treo 0,63 cm), trong khi Mục III, IV đánh số gõ tay, thụt đầu dòng 1,27 cm.</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Bỏ đánh số tự động, gõ “1.”, “2.”, “3.” và định dạng như Mục III (thụt đầu dòng 1,27 cm).</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6; Skill 14,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br/>
              <w:t>(lần 3: số 4) 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sửa. Nơi nhận vẫn ghi “- Thành viên Đoàn thực tập;” trong khi Kế hoạch không lập “Đoàn thực tập”; thành phần là 02 nhà giáo, 29 học sinh và lái xe.</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 Nhà giáo, học sinh tham gia;” hoặc “- Thành phần tham gia;”.</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(thống nhất thuật ngữ)</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br/>
              <w:t>(lần 3: số 7) Mục IV.1, gạch đầu dòng 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sửa. Vẫn giao Phòng QLKHCN&amp;HTPT “lập Kế hoạch đưa đi” — trong khi chính văn bản này là Kế hoạch đưa đi.</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“…tổ chức đưa đi, bàn giao, tiếp nhận học sinh lớp K8T May thời trang đến học tập tại doanh nghiệp đúng Kế hoạch.”</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15 (logic)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br/>
              <w:t>(lần 3: số 8) Tiêu ngữ; sau trích yếu; Mục III.2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sửa. Tiêu ngữ còn thuộc tính gạch chân (w:u, màu đỏ) trên “lập” và “Hạnh phúc”; đoạn trống chứa ký tự tab sau trích yếu; khoảng trắng thừa cuối dòng; Mục III.2 thụt 1,25 cm, các đoạn khác 1,27 cm.</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định dạng gạch chân (chỉ giữ đường kẻ Draw), đoạn tab thừa, khoảng trắng cuối dòng; thống nhất thụt đầu dòng 1,27 cm.</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1.2, mục 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br/>
              <w:t>(lần 3: số 1) Mục II.3; Phụ lục cột Ghi chú</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chưa ghi nhóm và vai trò bên cạnh tên hai nhà giáo; HĐ Điều 2 khoản 1 ghi bà Thơ (Nhóm 1), bà Hạnh (Nhóm 2) hướng dẫn mô đun Thiết kế mẫu công nghiệp.</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thể bổ sung “…, hướng dẫn Nhóm 1;” / “…, hướng dẫn Nhóm 2;” sau tên hai nhà giáo.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HĐ “Final” Điều 2 khoản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br/>
              <w:t>(lần 3: số 9) Phần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dẫn PA 01/PA-CĐKT ngày 05/01/2026 (Hợp đồng đã dẫn) và quyết định phân công nhà giáo (KH 426/KH-CĐKT cùng loại có dẫn QĐ 808/QĐ-CĐKT).</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bổ sung, không bắt buộc.</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HĐ “Final” phần căn cứ; KH 426/KH-CĐKT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br/>
              <w:t>(lần 3: số 10) Mục III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Kinh phí chưa nêu văn bản cụ thể; chưa nhắc chế độ hỗ trợ của doanh nghiệp đối với học sinh (HĐ Điều 3).</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“…theo Quy chế chi tiêu nội bộ năm 2026 ban hành kèm theo Quyết định số 1334/QĐ-CĐKT ngày 29/5/2026”; thêm “Chế độ hỗ trợ học sinh thực hiện theo Điều 3 Hợp đồng số 377/HĐ-CĐKT-MKT”.</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1334/QĐ-CĐKT; HĐ “Final” Điều 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br/>
              <w:t>(lần 3: số 11) Mục IV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PA 01/PA-CĐKT mục X giao thêm nhiệm vụ cho phòng Quản lý Đào tạo và Bảo đảm chất lượng và phòng Tổ chức cán bộ và Công tác học sinh – sinh viên; Kế hoạch chưa nêu.</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bổ sung, không bắt buộc.</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PA 01/PA-CĐKT mục X</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br/>
              <w:t>(lần 3: số 12) Nhiệm vụ của khoa</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lớn học sinh chưa đủ 18 tuổi; Kế hoạch chưa nêu việc thông báo gia đình, kiểm tra sức khỏe, bảo hiểm, phổ biến an toàn trước khi đi (HĐ Điều 4 khoản 3, Điều 5 khoản 4).</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bổ sung vào nhiệm vụ khoa Kỹ thuật và Công nghệ; chỉ cung cấp dữ liệu cá nhân cần thiết cho doanh nghiệp.</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BVDLCN số 91/2025/QH15 Điều 24; HĐ “Final” Điều 4, 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br/>
              <w:t>(lần 3: số 13) Trích yếu; Mục II.3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Trích yếu dài 4 dòng (giữ theo khuôn KH 426 nên không coi là lỗi); “- Lái xe.” không ghi họ tên, trong khi nhà trường chủ động bố trí xe đưa, đón.</w:t>
            </w:r>
          </w:p>
        </w:tc>
        <w:tc>
          <w:tcPr>
            <w:tcW w:type="dxa" w:w="311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thể rút gọn trích yếu; ghi họ tên, đơn vị của lái xe như KH 660/KH-CĐKT.</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426, KH 660/KH-CĐKT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i w:val="0"/>
          <w:sz w:val="28"/>
        </w:rPr>
        <w:t>1. Kết quả kiểm tra tiếp thu (lần 4) — các vấn đề của lần rà soát 3</w:t>
      </w:r>
    </w:p>
    <w:tbl>
      <w:tblPr>
        <w:tblStyle w:val="TableGrid"/>
        <w:tblW w:type="auto" w:w="0"/>
        <w:jc w:val="center"/>
        <w:tblLayout w:type="fixed"/>
        <w:tblLook w:firstColumn="1" w:firstRow="1" w:lastColumn="0" w:lastRow="0" w:noHBand="0" w:noVBand="1" w:val="04A0"/>
      </w:tblPr>
      <w:tblGrid>
        <w:gridCol w:w="1020"/>
        <w:gridCol w:w="2608"/>
        <w:gridCol w:w="8164"/>
        <w:gridCol w:w="1701"/>
      </w:tblGrid>
      <w:tr>
        <w:trPr>
          <w:cantSplit w:val="0"/>
          <w:tblHeader w:val="1"/>
        </w:trPr>
        <w:tc>
          <w:tcPr>
            <w:tcW w:type="dxa" w:w="102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LẦN 3</w:t>
            </w:r>
          </w:p>
        </w:tc>
        <w:tc>
          <w:tcPr>
            <w:tcW w:type="dxa" w:w="260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816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 ĐỐI CHIẾU BẢN CHỈNH SỬA</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ĐÁNH GIÁ</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và thứ tự tiểu mục Mục II</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tên mục thành “II. ĐỊA ĐIỂM, THỜI GIAN, THÀNH PHẦN THAM GIA”, khớp thứ tự 1. Địa điểm, 2. Thời gian, 3. Thành phần. Phần đánh số tự động còn mở, xem Phần II số 1.</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“đảm bảo” ở Mục I, đoạn 2</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thành “…bảo đảm chất lượng đầu ra…”; toàn văn bản không còn “đảm bảo”.</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mô hình ở tên Phụ lục</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thành “MỘT CHƯƠNG TRÌNH - HAI ĐỊA ĐIỂM”, thống nhất với trích yếu, nội dung và Phụ lục Hợp đồng; tên Phụ lục ngắt dòng hợp lý trước “TẠI XÍ NGHIỆP MAY KON TUM, NĂM 2026”.</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Chữ hoa, dấu gạch (Mục II.3, IV.1, IV.4)</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“- 29 học sinh lớp K8T May thời trang (Danh sách tại Phụ lục kèm theo);”; tên phòng thống nhất dùng gạch ngắn: “phòng Tổng hợp - Hành chính và Quản trị” (IV.1, IV.3), “Phòng Tài chính - Kế toán” (IV.4).</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bl>
    <w:p>
      <w:pPr>
        <w:spacing w:after="40"/>
      </w:pPr>
    </w:p>
    <w:p>
      <w:pPr>
        <w:spacing w:after="60" w:line="276" w:lineRule="auto"/>
        <w:jc w:val="both"/>
      </w:pPr>
      <w:r>
        <w:rPr>
          <w:rFonts w:ascii="Times New Roman" w:hAnsi="Times New Roman"/>
          <w:b/>
          <w:i w:val="0"/>
          <w:sz w:val="28"/>
        </w:rPr>
        <w:t>2. Các vấn đề Mức 2 các lần trước đã tiếp thu (giữ nguyên kết quả, đã kiểm tra lại không bị thay đổi)</w:t>
      </w:r>
    </w:p>
    <w:tbl>
      <w:tblPr>
        <w:tblStyle w:val="TableGrid"/>
        <w:tblW w:type="auto" w:w="0"/>
        <w:jc w:val="center"/>
        <w:tblLayout w:type="fixed"/>
        <w:tblLook w:firstColumn="1" w:firstRow="1" w:lastColumn="0" w:lastRow="0" w:noHBand="0" w:noVBand="1" w:val="04A0"/>
      </w:tblPr>
      <w:tblGrid>
        <w:gridCol w:w="1020"/>
        <w:gridCol w:w="2608"/>
        <w:gridCol w:w="8164"/>
        <w:gridCol w:w="1701"/>
      </w:tblGrid>
      <w:tr>
        <w:trPr>
          <w:cantSplit w:val="0"/>
          <w:tblHeader w:val="1"/>
        </w:trPr>
        <w:tc>
          <w:tcPr>
            <w:tcW w:type="dxa" w:w="102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LẦN</w:t>
            </w:r>
          </w:p>
        </w:tc>
        <w:tc>
          <w:tcPr>
            <w:tcW w:type="dxa" w:w="260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816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 ĐỐI CHIẾU</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ĐÁNH GIÁ</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 – số 1</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Bốn căn cứ nội bộ (QĐ 945, KH 930, KH 970, HĐ 377)</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đổi so với lần 3; khớp ký hiệu, ngày và tên Hợp đồng bản “Final” (tiền đề 1).</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 – số 2</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doanh nghiệp đối tác</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đổi; các cách gọi cùng chỉ một chủ thể (tiền đề 2).</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 – số 3</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Thời gian học tập, địa điểm</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đổi; giờ xuất phát 8 giờ 00 ngày 05/10/2026 khớp HĐ Điều 1 (tiền đề 3).</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1020"/>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 – số 1</w:t>
            </w:r>
          </w:p>
        </w:tc>
        <w:tc>
          <w:tcPr>
            <w:tcW w:type="dxa" w:w="260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Phương tiện đưa, đón học sinh</w:t>
            </w:r>
          </w:p>
        </w:tc>
        <w:tc>
          <w:tcPr>
            <w:tcW w:type="dxa" w:w="816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đổi; nhà trường chủ động bố trí, không mâu thuẫn HĐ Điều 5 khoản 2 (tiền đề 4).</w:t>
            </w:r>
          </w:p>
        </w:tc>
        <w:tc>
          <w:tcPr>
            <w:tcW w:type="dxa" w:w="1701"/>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bl>
    <w:p>
      <w:pPr>
        <w:spacing w:after="40"/>
      </w:pPr>
    </w:p>
    <w:p>
      <w:pPr>
        <w:spacing w:after="60" w:line="276" w:lineRule="auto"/>
        <w:jc w:val="both"/>
      </w:pPr>
      <w:r>
        <w:rPr>
          <w:rFonts w:ascii="Times New Roman" w:hAnsi="Times New Roman"/>
          <w:b/>
          <w:i w:val="0"/>
          <w:sz w:val="28"/>
        </w:rPr>
        <w:t>3. Các nội dung khác đã kiểm tra và đạt</w:t>
      </w:r>
    </w:p>
    <w:p>
      <w:pPr>
        <w:spacing w:after="60" w:line="276" w:lineRule="auto"/>
        <w:jc w:val="both"/>
      </w:pPr>
      <w:r>
        <w:rPr>
          <w:rFonts w:ascii="Times New Roman" w:hAnsi="Times New Roman"/>
          <w:b w:val="0"/>
          <w:i w:val="0"/>
          <w:sz w:val="28"/>
        </w:rPr>
        <w:t>– Thể thức đầu văn bản, số ký hiệu, địa danh, tên loại, trích yếu, căn cứ, chức vụ và họ tên người ký: không đổi so với lần 1 và vẫn đúng TB 597 mục 1–9 (trừ vấn đề 1, 4 Phần II).</w:t>
      </w:r>
    </w:p>
    <w:p>
      <w:pPr>
        <w:spacing w:after="60" w:line="276" w:lineRule="auto"/>
        <w:jc w:val="both"/>
      </w:pPr>
      <w:r>
        <w:rPr>
          <w:rFonts w:ascii="Times New Roman" w:hAnsi="Times New Roman"/>
          <w:b w:val="0"/>
          <w:i w:val="0"/>
          <w:sz w:val="28"/>
        </w:rPr>
        <w:t>– Lề trang 20/20/30/20 mm (Phụ lục khổ ngang); Times New Roman 14, dàn đều, thụt đầu dòng 1,27 cm; công cụ đọc thuộc tính định dạng không phát hiện sai lệch.</w:t>
      </w:r>
    </w:p>
    <w:p>
      <w:pPr>
        <w:spacing w:after="60" w:line="276" w:lineRule="auto"/>
        <w:jc w:val="both"/>
      </w:pPr>
      <w:r>
        <w:rPr>
          <w:rFonts w:ascii="Times New Roman" w:hAnsi="Times New Roman"/>
          <w:b w:val="0"/>
          <w:i w:val="0"/>
          <w:sz w:val="28"/>
        </w:rPr>
        <w:t>– Các đoạn đã sửa giữ nguyên cỡ chữ 14, kiểu chữ và định dạng đoạn như bản trước; không phát sinh lỗi mới.</w:t>
      </w:r>
    </w:p>
    <w:p>
      <w:pPr>
        <w:spacing w:after="60" w:line="276" w:lineRule="auto"/>
        <w:jc w:val="both"/>
      </w:pPr>
      <w:r>
        <w:rPr>
          <w:rFonts w:ascii="Times New Roman" w:hAnsi="Times New Roman"/>
          <w:b w:val="0"/>
          <w:i w:val="0"/>
          <w:sz w:val="28"/>
        </w:rPr>
        <w:t>– Danh sách 29 học sinh, Nhóm 1: 14, Nhóm 2: 15 — không đổi, khớp Phụ lục Hợp đồng về họ tên và lớp.</w:t>
      </w:r>
    </w:p>
    <w:p>
      <w:pPr>
        <w:spacing w:before="200" w:after="80"/>
      </w:pPr>
      <w:r>
        <w:rPr>
          <w:rFonts w:ascii="Times New Roman" w:hAnsi="Times New Roman"/>
          <w:b/>
          <w:i w:val="0"/>
          <w:color w:val="7030A0"/>
          <w:sz w:val="28"/>
        </w:rPr>
        <w:t>PHẦN IV. BẢNG TỔNG HỢP</w:t>
      </w:r>
    </w:p>
    <w:p>
      <w:pPr>
        <w:spacing w:after="60" w:line="276" w:lineRule="auto"/>
        <w:jc w:val="both"/>
      </w:pPr>
      <w:r>
        <w:rPr>
          <w:rFonts w:ascii="Times New Roman" w:hAnsi="Times New Roman"/>
          <w:b/>
          <w:i w:val="0"/>
          <w:sz w:val="28"/>
        </w:rPr>
        <w:t>Bảng 1. Số vấn đề còn mở theo nhóm nội dung</w:t>
      </w:r>
    </w:p>
    <w:tbl>
      <w:tblPr>
        <w:tblStyle w:val="TableGrid"/>
        <w:tblW w:type="auto" w:w="0"/>
        <w:jc w:val="center"/>
        <w:tblLayout w:type="fixed"/>
        <w:tblLook w:firstColumn="1" w:firstRow="1" w:lastColumn="0" w:lastRow="0" w:noHBand="0" w:noVBand="1" w:val="04A0"/>
      </w:tblPr>
      <w:tblGrid>
        <w:gridCol w:w="6804"/>
        <w:gridCol w:w="2835"/>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w:t>
            </w:r>
          </w:p>
        </w:tc>
      </w:tr>
    </w:tbl>
    <w:p>
      <w:pPr>
        <w:spacing w:after="40"/>
      </w:pPr>
    </w:p>
    <w:p>
      <w:pPr>
        <w:spacing w:after="60" w:line="276" w:lineRule="auto"/>
        <w:jc w:val="both"/>
      </w:pPr>
      <w:r>
        <w:rPr>
          <w:rFonts w:ascii="Times New Roman" w:hAnsi="Times New Roman"/>
          <w:b/>
          <w:i w:val="0"/>
          <w:sz w:val="28"/>
        </w:rPr>
        <w:t>Bảng 2. Số vấn đề còn mở theo mức độ</w:t>
      </w:r>
    </w:p>
    <w:tbl>
      <w:tblPr>
        <w:tblStyle w:val="TableGrid"/>
        <w:tblW w:type="auto" w:w="0"/>
        <w:jc w:val="center"/>
        <w:tblLayout w:type="fixed"/>
        <w:tblLook w:firstColumn="1" w:firstRow="1" w:lastColumn="0" w:lastRow="0" w:noHBand="0" w:noVBand="1" w:val="04A0"/>
      </w:tblPr>
      <w:tblGrid>
        <w:gridCol w:w="6804"/>
        <w:gridCol w:w="2835"/>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w:t>
            </w:r>
          </w:p>
        </w:tc>
      </w:tr>
    </w:tbl>
    <w:p>
      <w:pPr>
        <w:spacing w:after="40"/>
      </w:pPr>
    </w:p>
    <w:p>
      <w:pPr>
        <w:spacing w:after="60" w:line="276" w:lineRule="auto"/>
        <w:ind w:firstLine="567"/>
        <w:jc w:val="both"/>
      </w:pPr>
      <w:r>
        <w:rPr>
          <w:rFonts w:ascii="Times New Roman" w:hAnsi="Times New Roman"/>
          <w:b w:val="0"/>
          <w:i w:val="0"/>
          <w:sz w:val="28"/>
        </w:rPr>
        <w:t>Diễn biến: lần 1 — 16 vấn đề (03 Mức 2); lần 2 — 14 vấn đề (01 Mức 2); lần 3 — 13 vấn đề (07 Mức 3); lần 4 — 10 vấn đề (04 Mức 3, 06 Mức 4), bản chỉnh sửa đã xử lý 4 vấn đề Mức 3 (lần 3: số 2 phần tên mục, số 3, 5, 6).</w:t>
      </w:r>
    </w:p>
    <w:p>
      <w:pPr>
        <w:spacing w:before="200" w:after="80"/>
      </w:pPr>
      <w:r>
        <w:rPr>
          <w:rFonts w:ascii="Times New Roman" w:hAnsi="Times New Roman"/>
          <w:b/>
          <w:i w:val="0"/>
          <w:color w:val="7030A0"/>
          <w:sz w:val="28"/>
        </w:rPr>
        <w:t>PHẦN V. THẨM ĐỊNH CHUYÊN MÔN</w:t>
      </w:r>
    </w:p>
    <w:p>
      <w:pPr>
        <w:spacing w:after="60" w:line="276" w:lineRule="auto"/>
        <w:ind w:firstLine="567"/>
        <w:jc w:val="both"/>
      </w:pPr>
      <w:r>
        <w:rPr>
          <w:rFonts w:ascii="Times New Roman" w:hAnsi="Times New Roman"/>
          <w:b w:val="0"/>
          <w:i w:val="0"/>
          <w:sz w:val="28"/>
        </w:rPr>
        <w:t>1. Phạm vi: các đoạn đã sửa không liên quan nội dung chuyên môn; kết quả đối chiếu thời điểm xuất phát, nhóm học sinh và nhà giáo với HĐ Điều 1, Điều 2 ở lần 2 giữ nguyên (khớp).</w:t>
      </w:r>
    </w:p>
    <w:p>
      <w:pPr>
        <w:spacing w:after="60" w:line="276" w:lineRule="auto"/>
        <w:ind w:firstLine="567"/>
        <w:jc w:val="both"/>
      </w:pPr>
      <w:r>
        <w:rPr>
          <w:rFonts w:ascii="Times New Roman" w:hAnsi="Times New Roman"/>
          <w:b w:val="0"/>
          <w:i w:val="0"/>
          <w:sz w:val="28"/>
        </w:rPr>
        <w:t>2. Giới hạn: không thẩm định nội dung, thời lượng mô đun và mức độ phù hợp với chương trình đào tạo.</w:t>
      </w:r>
    </w:p>
    <w:p>
      <w:pPr>
        <w:spacing w:after="60" w:line="276" w:lineRule="auto"/>
        <w:ind w:firstLine="567"/>
        <w:jc w:val="both"/>
      </w:pPr>
      <w:r>
        <w:rPr>
          <w:rFonts w:ascii="Times New Roman" w:hAnsi="Times New Roman"/>
          <w:b w:val="0"/>
          <w:i w:val="0"/>
          <w:sz w:val="28"/>
        </w:rPr>
        <w:t>3. Đề nghị: khoa Kỹ thuật và Công nghệ và phòng Quản lý Đào tạo và Bảo đảm chất lượng xác nhận lịch mô đun khi theo dõi thực hiện.</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1. Mức độ tuân thủ: Đạt. Không có vấn đề Mức 1, Mức 2; bản chỉnh sửa đã tiếp thu 4 vấn đề Mức 3 của lần 3, không phát sinh lỗi mới.</w:t>
      </w:r>
    </w:p>
    <w:p>
      <w:pPr>
        <w:spacing w:after="60" w:line="276" w:lineRule="auto"/>
        <w:ind w:firstLine="567"/>
        <w:jc w:val="both"/>
      </w:pPr>
      <w:r>
        <w:rPr>
          <w:rFonts w:ascii="Times New Roman" w:hAnsi="Times New Roman"/>
          <w:b w:val="0"/>
          <w:i w:val="0"/>
          <w:sz w:val="28"/>
        </w:rPr>
        <w:t>2. Mức độ sẵn sàng phát hành: Sẵn sàng trình ký về mặt thể thức và nội dung trong phạm vi rà soát. Bốn vấn đề Mức 3 còn lại đều sửa nhanh, nên sửa nếu còn thời gian trước ngày 05/10/2026; Mức 4 không cản trở trình ký.</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bản chỉnh sửa đã xử lý đúng và gọn các điểm “bảo đảm”, tên Mục II, tên mô hình ở Phụ lục, chữ hoa và dấu gạch; các nội dung khác giữ nguyên, thống nhất với Hợp đồng bản “Final”.</w:t>
      </w:r>
    </w:p>
    <w:p>
      <w:pPr>
        <w:spacing w:after="60" w:line="276" w:lineRule="auto"/>
        <w:ind w:firstLine="567"/>
        <w:jc w:val="both"/>
      </w:pPr>
      <w:r>
        <w:rPr>
          <w:rFonts w:ascii="Times New Roman" w:hAnsi="Times New Roman"/>
          <w:b w:val="0"/>
          <w:i w:val="0"/>
          <w:sz w:val="28"/>
        </w:rPr>
        <w:t>(1) Nên sửa trước khi trình ký nếu còn thời gian (Mức 3, sửa nhanh): “Thành viên Đoàn thực tập” ở Nơi nhận (vấn đề 2); câu “lập Kế hoạch đưa đi” (vấn đề 3); đánh số tự động Mục II (vấn đề 1); định dạng dư thừa (vấn đề 4).</w:t>
      </w:r>
    </w:p>
    <w:p>
      <w:pPr>
        <w:spacing w:after="60" w:line="276" w:lineRule="auto"/>
        <w:ind w:firstLine="567"/>
        <w:jc w:val="both"/>
      </w:pPr>
      <w:r>
        <w:rPr>
          <w:rFonts w:ascii="Times New Roman" w:hAnsi="Times New Roman"/>
          <w:b w:val="0"/>
          <w:i w:val="0"/>
          <w:sz w:val="28"/>
        </w:rPr>
        <w:t>(2) Góp ý nâng cao (Mức 4): vấn đề 5–10 — đơn vị cân nhắc, không cản trở trình ký.</w:t>
      </w:r>
    </w:p>
    <w:p>
      <w:pPr>
        <w:spacing w:after="60" w:line="276" w:lineRule="auto"/>
        <w:ind w:firstLine="567"/>
        <w:jc w:val="both"/>
      </w:pPr>
      <w:r>
        <w:rPr>
          <w:rFonts w:ascii="Times New Roman" w:hAnsi="Times New Roman"/>
          <w:b w:val="0"/>
          <w:i w:val="0"/>
          <w:sz w:val="28"/>
        </w:rPr>
        <w:t>Rủi ro nếu không sửa: thấp. Các vấn đề Mức 3 chỉ ảnh hưởng tính thống nhất và độ chặt chẽ câu chữ, không ảnh hưởng hiệu lực của Kế hoạch.</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4 nhóm tiêu chí trên toàn văn bản chỉnh sửa; đọc thuộc tính định dạng (lề, cỡ chữ, đánh số, thụt dòng, gạch chân).</w:t>
      </w:r>
    </w:p>
    <w:p>
      <w:pPr>
        <w:spacing w:after="60" w:line="276" w:lineRule="auto"/>
        <w:jc w:val="both"/>
      </w:pPr>
      <w:r>
        <w:rPr>
          <w:rFonts w:ascii="Times New Roman" w:hAnsi="Times New Roman"/>
          <w:b w:val="0"/>
          <w:i w:val="0"/>
          <w:sz w:val="28"/>
        </w:rPr>
        <w:t>☑ Đã so sánh từng đoạn (nội dung, định dạng đoạn, thuộc tính chữ) với bản lần 1: chỉ 6 đoạn thay đổi; bảng đầu, căn cứ, Nơi nhận, chữ ký, Phụ lục danh sách không đổi nên nhận xét liên quan giữ nguyên.</w:t>
      </w:r>
    </w:p>
    <w:p>
      <w:pPr>
        <w:spacing w:after="60" w:line="276" w:lineRule="auto"/>
        <w:jc w:val="both"/>
      </w:pPr>
      <w:r>
        <w:rPr>
          <w:rFonts w:ascii="Times New Roman" w:hAnsi="Times New Roman"/>
          <w:b w:val="0"/>
          <w:i w:val="0"/>
          <w:sz w:val="28"/>
        </w:rPr>
        <w:t>☑ Đã đọc lại trọn vẹn từng đoạn đã sửa trước khi ghi “Đạt”, không dựa vào việc có thay đổi.</w:t>
      </w:r>
    </w:p>
    <w:p>
      <w:pPr>
        <w:spacing w:after="60" w:line="276" w:lineRule="auto"/>
        <w:jc w:val="both"/>
      </w:pPr>
      <w:r>
        <w:rPr>
          <w:rFonts w:ascii="Times New Roman" w:hAnsi="Times New Roman"/>
          <w:b w:val="0"/>
          <w:i w:val="0"/>
          <w:sz w:val="28"/>
        </w:rPr>
        <w:t>☑ Tiếp tục áp dụng tiền đề (1)–(6) đã thống nhất với người dùng.</w:t>
      </w:r>
    </w:p>
    <w:p>
      <w:pPr>
        <w:spacing w:after="60" w:line="276" w:lineRule="auto"/>
        <w:jc w:val="both"/>
      </w:pPr>
      <w:r>
        <w:rPr>
          <w:rFonts w:ascii="Times New Roman" w:hAnsi="Times New Roman"/>
          <w:b w:val="0"/>
          <w:i w:val="0"/>
          <w:sz w:val="28"/>
        </w:rPr>
        <w:t>☑ Không có hai dòng trùng lặp; không có kiến nghị mâu thuẫn; số liệu Phần IV khớp Phần II; Phần VIII không xuất vì người dùng không yêu cầu.</w:t>
      </w:r>
    </w:p>
    <w:p>
      <w:pPr>
        <w:spacing w:after="60" w:line="276" w:lineRule="auto"/>
        <w:jc w:val="both"/>
      </w:pPr>
      <w:r>
        <w:rPr>
          <w:rFonts w:ascii="Times New Roman" w:hAnsi="Times New Roman"/>
          <w:b w:val="0"/>
          <w:i w:val="0"/>
          <w:sz w:val="28"/>
        </w:rPr>
        <w:t>☑ Định dạng theo mẫu “BC-ra-soat-lan-3_Bao-cao-khao-sat-HSSV-2026” do người dùng cung cấp.</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đã chỉnh sửa “Ke hoach dua HS lop K8T May thoi trang di hoc tap tai DN mo hinh 1 chuong trinh 2 dia diem 2026.docx” (nhận lần 4, ngày 02/10/2026); bản dự thảo lần 1 (để so sánh); báo cáo rà soát lần 1, 2, 3 ngày 02/10/2026; Hợp đồng “0110 XNMKT. HD LKDT 1CT 2 dia diem 2026_dieu-chinh-Final.docx”; 02-KTC-Regulations: TB 597/TB-CĐKT, QĐ 1334/QĐ-CĐKT; PA 01/PA-CĐKT; 04-Good-Documents: KH 660/KH-CĐKT; văn bản cùng loại đã ban hành: KH 426/KH-CĐKT; 01-Legal-Database: Luật Bảo vệ dữ liệu cá nhân số 91/2025/QH15 · Công cụ hỗ trợ: Hệ KTC-Ra-Soat-897-v2-Cai-tien (Skill ktc-ra-soat-897, v2.25), chạy ngày 02/10/2026.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CHỨC DANH NGƯỜI KIỂM TRA]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2646</Words>
  <Characters>9635</Characters>
  <Application>Microsoft Macintosh Word</Application>
  <DocSecurity>0</DocSecurity>
  <Lines>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