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003366"/>
        </w:rPr>
        <w:t>GrabAds In-Cabin Screens &amp; Taxi Screen Safety</w:t>
      </w:r>
    </w:p>
    <w:p>
      <w:pPr>
        <w:jc w:val="center"/>
      </w:pPr>
      <w:r>
        <w:rPr>
          <w:color w:val="666666"/>
          <w:sz w:val="22"/>
        </w:rPr>
        <w:t>Research Summary for Vietnam Taxi DOOH MVP</w:t>
      </w:r>
    </w:p>
    <w:p>
      <w:pPr>
        <w:jc w:val="center"/>
      </w:pPr>
      <w:r>
        <w:rPr>
          <w:color w:val="666666"/>
          <w:sz w:val="20"/>
        </w:rPr>
        <w:t>December 9, 2025</w:t>
      </w:r>
    </w:p>
    <w:p/>
    <w:p>
      <w:pPr>
        <w:pStyle w:val="Heading1"/>
      </w:pPr>
      <w:r>
        <w:t>Executive Summary</w:t>
      </w:r>
    </w:p>
    <w:p>
      <w:r>
        <w:t xml:space="preserve">This research examines how GrabAds successfully operates in-cabin advertising screens across Southeast Asia (8 countries, $100M annual revenue) and addresses the critical safety concern: driver distraction. The key finding is that </w:t>
      </w:r>
      <w:r>
        <w:rPr>
          <w:b/>
        </w:rPr>
        <w:t>passenger-facing screens (headrest-mounted) completely eliminate driver distraction</w:t>
      </w:r>
      <w:r>
        <w:t xml:space="preserve"> because the driver cannot see the content. All successful global implementations (NYC, Singapore, GrabAds) use this approach. Vietnam has no specific regulations yet, but existing taxi operators (VinaSun with 1,500+ screens, Mai Linh) already run in-cabin advertising, providing proof of market acceptance and potential partnership opportunities.</w:t>
      </w:r>
    </w:p>
    <w:p/>
    <w:p>
      <w:pPr>
        <w:pStyle w:val="Heading1"/>
      </w:pPr>
      <w:r>
        <w:t>GrabAds Key Facts</w:t>
      </w:r>
    </w:p>
    <w:p>
      <w:pPr>
        <w:pStyle w:val="ListBullet"/>
      </w:pPr>
      <w:r>
        <w:rPr>
          <w:b/>
        </w:rPr>
        <w:t>Launch &amp; Scale:</w:t>
      </w:r>
      <w:r>
        <w:t xml:space="preserve"> August 2018 | 8 countries, 200+ cities, 187M+ devices</w:t>
      </w:r>
    </w:p>
    <w:p>
      <w:pPr>
        <w:pStyle w:val="ListBullet"/>
      </w:pPr>
      <w:r>
        <w:rPr>
          <w:b/>
        </w:rPr>
        <w:t>Revenue:</w:t>
      </w:r>
      <w:r>
        <w:t xml:space="preserve"> $100M annual run rate (Q3 2024), 100%+ YoY growth</w:t>
      </w:r>
    </w:p>
    <w:p>
      <w:pPr>
        <w:pStyle w:val="ListBullet"/>
      </w:pPr>
      <w:r>
        <w:rPr>
          <w:b/>
        </w:rPr>
        <w:t>Fleet Size:</w:t>
      </w:r>
      <w:r>
        <w:t xml:space="preserve"> 5M+ driver-partners, 100M+ km traveled weekly</w:t>
      </w:r>
    </w:p>
    <w:p>
      <w:pPr>
        <w:pStyle w:val="ListBullet"/>
      </w:pPr>
      <w:r>
        <w:rPr>
          <w:b/>
        </w:rPr>
        <w:t>Screen Placement:</w:t>
      </w:r>
      <w:r>
        <w:t xml:space="preserve"> Headrest-mounted tablets on back of front seats, facing rear passengers only</w:t>
      </w:r>
    </w:p>
    <w:p>
      <w:pPr>
        <w:pStyle w:val="ListBullet"/>
      </w:pPr>
      <w:r>
        <w:rPr>
          <w:b/>
        </w:rPr>
        <w:t>Vietnam Partner:</w:t>
      </w:r>
      <w:r>
        <w:t xml:space="preserve"> DrivAdz (hardware installation partner)</w:t>
      </w:r>
    </w:p>
    <w:p>
      <w:pPr>
        <w:pStyle w:val="ListBullet"/>
      </w:pPr>
      <w:r>
        <w:rPr>
          <w:b/>
        </w:rPr>
        <w:t>Content Types:</w:t>
      </w:r>
      <w:r>
        <w:t xml:space="preserve"> Video (99% completion rate), static images, interactive ads, in-car retail</w:t>
      </w:r>
    </w:p>
    <w:p>
      <w:pPr>
        <w:pStyle w:val="ListBullet"/>
      </w:pPr>
      <w:r>
        <w:rPr>
          <w:b/>
        </w:rPr>
        <w:t>Key Innovation:</w:t>
      </w:r>
      <w:r>
        <w:t xml:space="preserve"> Cost-Per-Order (CPO) pricing - advertisers pay only when ad leads to purchase</w:t>
      </w:r>
    </w:p>
    <w:p>
      <w:pPr>
        <w:pStyle w:val="ListBullet"/>
      </w:pPr>
      <w:r>
        <w:rPr>
          <w:b/>
        </w:rPr>
        <w:t>Driver Economics:</w:t>
      </w:r>
      <w:r>
        <w:t xml:space="preserve"> 10% average income increase for participating drivers</w:t>
      </w:r>
    </w:p>
    <w:p>
      <w:pPr>
        <w:pStyle w:val="ListBullet"/>
      </w:pPr>
      <w:r>
        <w:rPr>
          <w:b/>
        </w:rPr>
        <w:t>Performance:</w:t>
      </w:r>
      <w:r>
        <w:t xml:space="preserve"> 99% video completion vs 81% industry average | 17% ad recall uplift</w:t>
      </w:r>
    </w:p>
    <w:p/>
    <w:p>
      <w:pPr>
        <w:pStyle w:val="Heading1"/>
      </w:pPr>
      <w:r>
        <w:t>The Driver Distraction Solution</w:t>
      </w:r>
    </w:p>
    <w:p>
      <w:r>
        <w:t>The safety concern with taxi screens is eliminated through screen placement:</w:t>
      </w:r>
    </w:p>
    <w:tbl>
      <w:tblPr>
        <w:tblStyle w:val="LightGrid-Accent1"/>
        <w:tblW w:type="auto" w:w="0"/>
        <w:tblLook w:firstColumn="1" w:firstRow="1" w:lastColumn="0" w:lastRow="0" w:noHBand="0" w:noVBand="1" w:val="04A0"/>
      </w:tblPr>
      <w:tblGrid>
        <w:gridCol w:w="3120"/>
        <w:gridCol w:w="3120"/>
        <w:gridCol w:w="3120"/>
      </w:tblGrid>
      <w:tr>
        <w:tc>
          <w:tcPr>
            <w:tcW w:type="dxa" w:w="3120"/>
            <w:shd w:fill="003366"/>
          </w:tcPr>
          <w:p>
            <w:r>
              <w:rPr>
                <w:b/>
                <w:color w:val="FFFFFF"/>
              </w:rPr>
              <w:t>Screen Placement</w:t>
            </w:r>
          </w:p>
        </w:tc>
        <w:tc>
          <w:tcPr>
            <w:tcW w:type="dxa" w:w="3120"/>
            <w:shd w:fill="003366"/>
          </w:tcPr>
          <w:p>
            <w:r>
              <w:rPr>
                <w:b/>
                <w:color w:val="FFFFFF"/>
              </w:rPr>
              <w:t>Safety Status</w:t>
            </w:r>
          </w:p>
        </w:tc>
        <w:tc>
          <w:tcPr>
            <w:tcW w:type="dxa" w:w="3120"/>
            <w:shd w:fill="003366"/>
          </w:tcPr>
          <w:p>
            <w:r>
              <w:rPr>
                <w:b/>
                <w:color w:val="FFFFFF"/>
              </w:rPr>
              <w:t>Used By</w:t>
            </w:r>
          </w:p>
        </w:tc>
      </w:tr>
      <w:tr>
        <w:tc>
          <w:tcPr>
            <w:tcW w:type="dxa" w:w="3120"/>
          </w:tcPr>
          <w:p>
            <w:r>
              <w:t>Passenger-facing (headrest/partition)</w:t>
            </w:r>
          </w:p>
        </w:tc>
        <w:tc>
          <w:tcPr>
            <w:tcW w:type="dxa" w:w="3120"/>
          </w:tcPr>
          <w:p>
            <w:r>
              <w:rPr>
                <w:b/>
                <w:color w:val="008000"/>
              </w:rPr>
              <w:t>SAFE - Used globally</w:t>
            </w:r>
          </w:p>
        </w:tc>
        <w:tc>
          <w:tcPr>
            <w:tcW w:type="dxa" w:w="3120"/>
          </w:tcPr>
          <w:p>
            <w:r>
              <w:t>GrabAds, NYC taxis, Singapore</w:t>
            </w:r>
          </w:p>
        </w:tc>
      </w:tr>
      <w:tr>
        <w:tc>
          <w:tcPr>
            <w:tcW w:type="dxa" w:w="3120"/>
          </w:tcPr>
          <w:p>
            <w:r>
              <w:t>Driver-facing (dashboard)</w:t>
            </w:r>
          </w:p>
        </w:tc>
        <w:tc>
          <w:tcPr>
            <w:tcW w:type="dxa" w:w="3120"/>
          </w:tcPr>
          <w:p>
            <w:r>
              <w:rPr>
                <w:b/>
                <w:color w:val="B22222"/>
              </w:rPr>
              <w:t>DANGEROUS - Prohibited</w:t>
            </w:r>
          </w:p>
        </w:tc>
        <w:tc>
          <w:tcPr>
            <w:tcW w:type="dxa" w:w="3120"/>
          </w:tcPr>
          <w:p>
            <w:r>
              <w:t>None (illegal in most jurisdictions)</w:t>
            </w:r>
          </w:p>
        </w:tc>
      </w:tr>
      <w:tr>
        <w:tc>
          <w:tcPr>
            <w:tcW w:type="dxa" w:w="3120"/>
          </w:tcPr>
          <w:p>
            <w:r>
              <w:t>Infotainment systems</w:t>
            </w:r>
          </w:p>
        </w:tc>
        <w:tc>
          <w:tcPr>
            <w:tcW w:type="dxa" w:w="3120"/>
          </w:tcPr>
          <w:p>
            <w:r>
              <w:rPr>
                <w:b/>
                <w:color w:val="B22222"/>
              </w:rPr>
              <w:t>NO-GO for advertising</w:t>
            </w:r>
          </w:p>
        </w:tc>
        <w:tc>
          <w:tcPr>
            <w:tcW w:type="dxa" w:w="3120"/>
          </w:tcPr>
          <w:p>
            <w:r>
              <w:t>Not used for commercial ads</w:t>
            </w:r>
          </w:p>
        </w:tc>
      </w:tr>
    </w:tbl>
    <w:p/>
    <w:p>
      <w:r>
        <w:t>Why passenger-facing works: Driver cannot see content (no visual distraction), no interaction required (no manual distraction), driver focus remains on road (no cognitive distraction). All successful implementations use headrest mounts with universal mounting systems, 360-degree swivel, and anti-theft locking mechanisms.</w:t>
      </w:r>
    </w:p>
    <w:p/>
    <w:p>
      <w:pPr>
        <w:pStyle w:val="Heading1"/>
      </w:pPr>
      <w:r>
        <w:t>Vietnam Market Context</w:t>
      </w:r>
    </w:p>
    <w:p>
      <w:pPr>
        <w:pStyle w:val="ListBullet"/>
      </w:pPr>
      <w:r>
        <w:rPr>
          <w:b/>
        </w:rPr>
        <w:t>Regulations:</w:t>
      </w:r>
      <w:r>
        <w:t xml:space="preserve"> Decree 10/2020 governs ride-hailing (requires cameras). No specific rules for in-cabin advertising screens yet.</w:t>
      </w:r>
    </w:p>
    <w:p>
      <w:pPr>
        <w:pStyle w:val="ListBullet"/>
      </w:pPr>
      <w:r>
        <w:rPr>
          <w:b/>
        </w:rPr>
        <w:t>Existing Infrastructure:</w:t>
      </w:r>
      <w:r>
        <w:t xml:space="preserve"> VinaSun Taxi operates 1,500+ LCD screens across HCMC fleet (3,500+ vehicles). Mai Linh Taxi also has LCD-equipped vehicles.</w:t>
      </w:r>
    </w:p>
    <w:p>
      <w:pPr>
        <w:pStyle w:val="ListBullet"/>
      </w:pPr>
      <w:r>
        <w:rPr>
          <w:b/>
        </w:rPr>
        <w:t>Current Advertising:</w:t>
      </w:r>
      <w:r>
        <w:t xml:space="preserve"> Taxi companies already accept advertising partnerships. Formats include exterior wraps, interior posters, and TV screens with 5-15 minute video commercials.</w:t>
      </w:r>
    </w:p>
    <w:p>
      <w:pPr>
        <w:pStyle w:val="ListBullet"/>
      </w:pPr>
      <w:r>
        <w:rPr>
          <w:b/>
        </w:rPr>
        <w:t>Market Proof:</w:t>
      </w:r>
      <w:r>
        <w:t xml:space="preserve"> In-cabin advertising is already happening - this validates market acceptance and regulatory permissiveness.</w:t>
      </w:r>
    </w:p>
    <w:p>
      <w:pPr>
        <w:pStyle w:val="ListBullet"/>
      </w:pPr>
      <w:r>
        <w:rPr>
          <w:b/>
        </w:rPr>
        <w:t>Partnership Opportunity:</w:t>
      </w:r>
      <w:r>
        <w:t xml:space="preserve"> VinaSun and Mai Linh have existing hardware - MVP could integrate rather than deploy from scratch.</w:t>
      </w:r>
    </w:p>
    <w:p/>
    <w:p>
      <w:pPr>
        <w:pStyle w:val="Heading1"/>
      </w:pPr>
      <w:r>
        <w:t>Actionable Recommendations for MVP</w:t>
      </w:r>
    </w:p>
    <w:p>
      <w:pPr>
        <w:pStyle w:val="ListNumber"/>
      </w:pPr>
      <w:r>
        <w:rPr>
          <w:b/>
        </w:rPr>
        <w:t>Screen Placement (Non-Negotiable):</w:t>
      </w:r>
      <w:r>
        <w:t xml:space="preserve"> Install on back of front seat headrests, facing rear passengers ONLY. Verify driver cannot see content from any angle. Get professional installation for insurance/liability compliance.</w:t>
      </w:r>
    </w:p>
    <w:p>
      <w:pPr>
        <w:pStyle w:val="ListNumber"/>
      </w:pPr>
      <w:r>
        <w:rPr>
          <w:b/>
        </w:rPr>
        <w:t>Partner with Existing Infrastructure:</w:t>
      </w:r>
      <w:r>
        <w:t xml:space="preserve"> Contact VinaSun (1,500+ screens) and Mai Linh for potential hardware integration. This accelerates deployment vs. installing from scratch.</w:t>
      </w:r>
    </w:p>
    <w:p>
      <w:pPr>
        <w:pStyle w:val="ListNumber"/>
      </w:pPr>
      <w:r>
        <w:rPr>
          <w:b/>
        </w:rPr>
        <w:t>Research DrivAdz:</w:t>
      </w:r>
      <w:r>
        <w:t xml:space="preserve"> GrabAds uses DrivAdz as Vietnam hardware partner. Evaluate for partnership or competitive intelligence.</w:t>
      </w:r>
    </w:p>
    <w:p>
      <w:pPr>
        <w:pStyle w:val="ListNumber"/>
      </w:pPr>
      <w:r>
        <w:rPr>
          <w:b/>
        </w:rPr>
        <w:t>Start Simple, Scale Smart:</w:t>
      </w:r>
      <w:r>
        <w:t xml:space="preserve"> Phase 1: Static images only (validates distribution). Phase 2: Add video after proving 80%+ uptime. Phase 3: Interactive/programmatic features.</w:t>
      </w:r>
    </w:p>
    <w:p>
      <w:pPr>
        <w:pStyle w:val="ListNumber"/>
      </w:pPr>
      <w:r>
        <w:rPr>
          <w:b/>
        </w:rPr>
        <w:t>Driver Economics Model:</w:t>
      </w:r>
      <w:r>
        <w:t xml:space="preserve"> 10% income boost is proven by GrabAds. Offer opt-in model with monthly incentives for screen participation.</w:t>
      </w:r>
    </w:p>
    <w:p>
      <w:pPr>
        <w:pStyle w:val="ListNumber"/>
      </w:pPr>
      <w:r>
        <w:rPr>
          <w:b/>
        </w:rPr>
        <w:t>Consider CPO Pricing:</w:t>
      </w:r>
      <w:r>
        <w:t xml:space="preserve"> Cost-Per-Order model (advertiser pays only on conversion) is revolutionary differentiation. Only GrabAds and DoorDash offer this globally.</w:t>
      </w:r>
    </w:p>
    <w:p>
      <w:pPr>
        <w:pStyle w:val="ListNumber"/>
      </w:pPr>
      <w:r>
        <w:rPr>
          <w:b/>
        </w:rPr>
        <w:t>Build Safety Documentation:</w:t>
      </w:r>
      <w:r>
        <w:t xml:space="preserve"> Document passenger-only viewing angles. Prepare for potential Ministry of Transport guidelines. Create content approval process early (no political/offensive content).</w:t>
      </w:r>
    </w:p>
    <w:p/>
    <w:p>
      <w:pPr>
        <w:pStyle w:val="Heading1"/>
      </w:pPr>
      <w:r>
        <w:t>Technical Implementation Checklist</w:t>
      </w:r>
    </w:p>
    <w:p>
      <w:pPr>
        <w:pStyle w:val="ListBullet"/>
        <w:ind w:left="360"/>
      </w:pPr>
      <w:r>
        <w:t>Auto-brightness adjustment (dim at night, bright in sunlight)</w:t>
      </w:r>
    </w:p>
    <w:p>
      <w:pPr>
        <w:pStyle w:val="ListBullet"/>
        <w:ind w:left="360"/>
      </w:pPr>
      <w:r>
        <w:t>Kiosk mode to prevent passenger tampering</w:t>
      </w:r>
    </w:p>
    <w:p>
      <w:pPr>
        <w:pStyle w:val="ListBullet"/>
        <w:ind w:left="360"/>
      </w:pPr>
      <w:r>
        <w:t>Auto-start/shutdown tied to vehicle ignition</w:t>
      </w:r>
    </w:p>
    <w:p>
      <w:pPr>
        <w:pStyle w:val="ListBullet"/>
        <w:ind w:left="360"/>
      </w:pPr>
      <w:r>
        <w:t>Content caching for offline playback during connectivity gaps</w:t>
      </w:r>
    </w:p>
    <w:p>
      <w:pPr>
        <w:pStyle w:val="ListBullet"/>
        <w:ind w:left="360"/>
      </w:pPr>
      <w:r>
        <w:t>Remote monitoring for device health and uptime tracking</w:t>
      </w:r>
    </w:p>
    <w:p>
      <w:pPr>
        <w:pStyle w:val="ListBullet"/>
        <w:ind w:left="360"/>
      </w:pPr>
      <w:r>
        <w:t>Passenger volume control with mute option (no audio audible to driver)</w:t>
      </w:r>
    </w:p>
    <w:p>
      <w:pPr>
        <w:pStyle w:val="ListBullet"/>
        <w:ind w:left="360"/>
      </w:pPr>
      <w:r>
        <w:t>60-second polling interval (proven workable by GrabAds)</w:t>
      </w:r>
    </w:p>
    <w:p/>
    <w:p>
      <w:pPr>
        <w:pStyle w:val="Heading1"/>
      </w:pPr>
      <w:r>
        <w:t>Conclusion</w:t>
      </w:r>
    </w:p>
    <w:p>
      <w:r>
        <w:t xml:space="preserve">The safety concern is solved: passenger-facing screens eliminate driver distraction entirely. Vietnam already has operational proof (VinaSun, Mai Linh) and lacks restrictive regulations. </w:t>
      </w:r>
      <w:r>
        <w:rPr>
          <w:b/>
        </w:rPr>
        <w:t>The fastest path to MVP is partnering with existing taxi fleets that already have hardware deployed.</w:t>
      </w:r>
      <w:r>
        <w:t xml:space="preserve"> Start with static images, prove 80%+ uptime and &lt;10 min content distribution, then scale to video and interactive features. GrabAds took 5 years to reach $100M revenue - the market opportunity is validated.</w:t>
      </w:r>
    </w:p>
    <w:p/>
    <w:p>
      <w:pPr>
        <w:jc w:val="center"/>
      </w:pPr>
      <w:r>
        <w:rPr>
          <w:i/>
          <w:color w:val="808080"/>
          <w:sz w:val="18"/>
        </w:rPr>
        <w:t>Research compiled from 42+ sources | See full markdown file for references</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