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20" w:name="X58770882245214b5e5aaa0bef30a15ad0863e21"/>
    <w:p>
      <w:pPr>
        <w:pStyle w:val="Heading1"/>
      </w:pPr>
      <w:r>
        <w:t xml:space="preserve">Vietnam DOOH Advertiser Spending Analysis</w:t>
      </w:r>
    </w:p>
    <w:bookmarkStart w:id="9" w:name="X0e51ede4d58a862c46e7aa32bedb649ad873d8e"/>
    <w:p>
      <w:pPr>
        <w:pStyle w:val="Heading2"/>
      </w:pPr>
      <w:r>
        <w:t xml:space="preserve">Who’s Paying the Most Money into Digital Out-of-Home Advertising</w:t>
      </w:r>
    </w:p>
    <w:p>
      <w:pPr>
        <w:pStyle w:val="FirstParagraph"/>
      </w:pPr>
      <w:r>
        <w:rPr>
          <w:b/>
          <w:bCs/>
        </w:rPr>
        <w:t xml:space="preserve">Report Date:</w:t>
      </w:r>
      <w:r>
        <w:t xml:space="preserve"> </w:t>
      </w:r>
      <w:r>
        <w:t xml:space="preserve">December 2, 2025</w:t>
      </w:r>
      <w:r>
        <w:t xml:space="preserve"> </w:t>
      </w:r>
      <w:r>
        <w:rPr>
          <w:b/>
          <w:bCs/>
        </w:rPr>
        <w:t xml:space="preserve">Market Focus:</w:t>
      </w:r>
      <w:r>
        <w:t xml:space="preserve"> </w:t>
      </w:r>
      <w:r>
        <w:t xml:space="preserve">Vietnam DOOH Advertising Buyers &amp; Spending Patterns</w:t>
      </w:r>
      <w:r>
        <w:t xml:space="preserve"> </w:t>
      </w:r>
      <w:r>
        <w:rPr>
          <w:b/>
          <w:bCs/>
        </w:rPr>
        <w:t xml:space="preserve">Time Period:</w:t>
      </w:r>
      <w:r>
        <w:t xml:space="preserve"> </w:t>
      </w:r>
      <w:r>
        <w:t xml:space="preserve">2024-2025 Market Intelligence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provides detailed intelligence on advertiser spending in Vietnam’s Digital Out-of-Home (DOOH) advertising market, identifying top spenders, budget allocations, and buyer behavior patterns.</w:t>
      </w:r>
    </w:p>
    <w:p>
      <w:pPr>
        <w:pStyle w:val="BodyText"/>
      </w:pPr>
      <w:r>
        <w:rPr>
          <w:b/>
          <w:bCs/>
        </w:rPr>
        <w:t xml:space="preserve">Key Findings: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Retail &amp; Consumer Goods</w:t>
      </w:r>
      <w:r>
        <w:t xml:space="preserve"> </w:t>
      </w:r>
      <w:r>
        <w:t xml:space="preserve">dominate with 44.49% market share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FMCG</w:t>
      </w:r>
      <w:r>
        <w:t xml:space="preserve"> </w:t>
      </w:r>
      <w:r>
        <w:t xml:space="preserve">commands 33.71% of digital advertising spend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91 of Vietnam’s top 100 companies</w:t>
      </w:r>
      <w:r>
        <w:t xml:space="preserve"> </w:t>
      </w:r>
      <w:r>
        <w:t xml:space="preserve">actively invest in DOOH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market size:</w:t>
      </w:r>
      <w:r>
        <w:t xml:space="preserve"> </w:t>
      </w:r>
      <w:r>
        <w:t xml:space="preserve">USD $129.58M (2025) growing to $171.29M (2030)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Geographic concentration:</w:t>
      </w:r>
      <w:r>
        <w:t xml:space="preserve"> </w:t>
      </w:r>
      <w:r>
        <w:t xml:space="preserve">HCMC and Hanoi capture majority of spending</w:t>
      </w:r>
    </w:p>
    <w:p>
      <w:r>
        <w:pict>
          <v:rect style="width:0;height:1.5pt" o:hralign="center" o:hrstd="t" o:hr="t"/>
        </w:pict>
      </w:r>
    </w:p>
    <w:bookmarkEnd w:id="10"/>
    <w:bookmarkStart w:id="18" w:name="top-industries-by-spending-volume"/>
    <w:p>
      <w:pPr>
        <w:pStyle w:val="Heading2"/>
      </w:pPr>
      <w:r>
        <w:t xml:space="preserve">1. TOP INDUSTRIES BY SPENDING VOLUME</w:t>
      </w:r>
    </w:p>
    <w:bookmarkStart w:id="11" w:name="X5597ae9c2329e5ca6740a953beec870727f3807"/>
    <w:p>
      <w:pPr>
        <w:pStyle w:val="Heading3"/>
      </w:pPr>
      <w:r>
        <w:t xml:space="preserve">#1: Retail and Consumer Goods - 44.49% Market Share (2024)</w:t>
      </w:r>
    </w:p>
    <w:p>
      <w:pPr>
        <w:pStyle w:val="FirstParagraph"/>
      </w:pPr>
      <w:r>
        <w:rPr>
          <w:b/>
          <w:bCs/>
        </w:rPr>
        <w:t xml:space="preserve">Market Leadership:</w:t>
      </w:r>
      <w:r>
        <w:t xml:space="preserve"> </w:t>
      </w:r>
      <w:r>
        <w:t xml:space="preserve">- Clear market leader, capturing nearly half of all DOOH spending</w:t>
      </w:r>
      <w:r>
        <w:t xml:space="preserve"> </w:t>
      </w:r>
      <w:r>
        <w:t xml:space="preserve">- Expected to spend</w:t>
      </w:r>
      <w:r>
        <w:t xml:space="preserve"> </w:t>
      </w:r>
      <w:r>
        <w:rPr>
          <w:b/>
          <w:bCs/>
        </w:rPr>
        <w:t xml:space="preserve">44.49% MORE</w:t>
      </w:r>
      <w:r>
        <w:t xml:space="preserve"> </w:t>
      </w:r>
      <w:r>
        <w:t xml:space="preserve">in 2024 compared to prior periods</w:t>
      </w:r>
      <w:r>
        <w:t xml:space="preserve"> </w:t>
      </w:r>
      <w:r>
        <w:t xml:space="preserve">- Represents approximately</w:t>
      </w:r>
      <w:r>
        <w:t xml:space="preserve"> </w:t>
      </w:r>
      <w:r>
        <w:rPr>
          <w:b/>
          <w:bCs/>
        </w:rPr>
        <w:t xml:space="preserve">USD $47-58 million annually</w:t>
      </w:r>
    </w:p>
    <w:p>
      <w:pPr>
        <w:pStyle w:val="BodyText"/>
      </w:pPr>
      <w:r>
        <w:rPr>
          <w:b/>
          <w:bCs/>
        </w:rPr>
        <w:t xml:space="preserve">Strategic Drivers:</w:t>
      </w:r>
      <w:r>
        <w:t xml:space="preserve"> </w:t>
      </w:r>
      <w:r>
        <w:t xml:space="preserve">- Combat e-commerce competition by driving physical store traffic</w:t>
      </w:r>
      <w:r>
        <w:t xml:space="preserve"> </w:t>
      </w:r>
      <w:r>
        <w:t xml:space="preserve">- Broad SKU mixes favor mass-reach roadside billboards</w:t>
      </w:r>
      <w:r>
        <w:t xml:space="preserve"> </w:t>
      </w:r>
      <w:r>
        <w:t xml:space="preserve">- Supplemented by mall screens near point-of-sale</w:t>
      </w:r>
    </w:p>
    <w:p>
      <w:pPr>
        <w:pStyle w:val="BodyText"/>
      </w:pPr>
      <w:r>
        <w:rPr>
          <w:b/>
          <w:bCs/>
        </w:rPr>
        <w:t xml:space="preserve">Format Preferences:</w:t>
      </w:r>
      <w:r>
        <w:t xml:space="preserve"> </w:t>
      </w:r>
      <w:r>
        <w:t xml:space="preserve">- Mass-reach roadside billboards</w:t>
      </w:r>
      <w:r>
        <w:t xml:space="preserve"> </w:t>
      </w:r>
      <w:r>
        <w:t xml:space="preserve">- Mall interior screens</w:t>
      </w:r>
      <w:r>
        <w:t xml:space="preserve"> </w:t>
      </w:r>
      <w:r>
        <w:t xml:space="preserve">- Semi-outdoor retail displays</w:t>
      </w:r>
      <w:r>
        <w:t xml:space="preserve"> </w:t>
      </w:r>
      <w:r>
        <w:t xml:space="preserve">- Point-of-sale proximity targeting</w:t>
      </w:r>
    </w:p>
    <w:p>
      <w:pPr>
        <w:pStyle w:val="BodyText"/>
      </w:pPr>
      <w:r>
        <w:rPr>
          <w:b/>
          <w:bCs/>
        </w:rPr>
        <w:t xml:space="preserve">Key KPIs:</w:t>
      </w:r>
      <w:r>
        <w:t xml:space="preserve"> </w:t>
      </w:r>
      <w:r>
        <w:t xml:space="preserve">- Foot traffic increases</w:t>
      </w:r>
      <w:r>
        <w:t xml:space="preserve"> </w:t>
      </w:r>
      <w:r>
        <w:t xml:space="preserve">- Store visit attribution</w:t>
      </w:r>
      <w:r>
        <w:t xml:space="preserve"> </w:t>
      </w:r>
      <w:r>
        <w:t xml:space="preserve">- Sales uplift in targeted locations</w:t>
      </w:r>
      <w:r>
        <w:t xml:space="preserve"> </w:t>
      </w:r>
      <w:r>
        <w:t xml:space="preserve">- Last-meter marketing effectiveness</w:t>
      </w:r>
    </w:p>
    <w:p>
      <w:r>
        <w:pict>
          <v:rect style="width:0;height:1.5pt" o:hralign="center" o:hrstd="t" o:hr="t"/>
        </w:pict>
      </w:r>
    </w:p>
    <w:bookmarkEnd w:id="11"/>
    <w:bookmarkStart w:id="12" w:name="X46c5765f979a4c7a66f4a1fb17edcc12d2a78b6"/>
    <w:p>
      <w:pPr>
        <w:pStyle w:val="Heading3"/>
      </w:pPr>
      <w:r>
        <w:t xml:space="preserve">#2: FMCG (Fast-Moving Consumer Goods) - 33.71% Digital Ad Share</w:t>
      </w:r>
    </w:p>
    <w:p>
      <w:pPr>
        <w:pStyle w:val="FirstParagraph"/>
      </w:pPr>
      <w:r>
        <w:rPr>
          <w:b/>
          <w:bCs/>
        </w:rPr>
        <w:t xml:space="preserve">Market Position:</w:t>
      </w:r>
      <w:r>
        <w:t xml:space="preserve"> </w:t>
      </w:r>
      <w:r>
        <w:t xml:space="preserve">- Commands</w:t>
      </w:r>
      <w:r>
        <w:t xml:space="preserve"> </w:t>
      </w:r>
      <w:r>
        <w:rPr>
          <w:b/>
          <w:bCs/>
        </w:rPr>
        <w:t xml:space="preserve">33.71%</w:t>
      </w:r>
      <w:r>
        <w:t xml:space="preserve"> </w:t>
      </w:r>
      <w:r>
        <w:t xml:space="preserve">of overall digital advertising spending in Vietnam</w:t>
      </w:r>
      <w:r>
        <w:t xml:space="preserve"> </w:t>
      </w:r>
      <w:r>
        <w:t xml:space="preserve">- Highest share across all digital channels</w:t>
      </w:r>
      <w:r>
        <w:t xml:space="preserve"> </w:t>
      </w:r>
      <w:r>
        <w:t xml:space="preserve">- Heavy programmatic DOOH adoption</w:t>
      </w:r>
    </w:p>
    <w:p>
      <w:pPr>
        <w:pStyle w:val="BodyText"/>
      </w:pPr>
      <w:r>
        <w:rPr>
          <w:b/>
          <w:bCs/>
        </w:rPr>
        <w:t xml:space="preserve">Strategic Advantages:</w:t>
      </w:r>
      <w:r>
        <w:t xml:space="preserve"> </w:t>
      </w:r>
      <w:r>
        <w:t xml:space="preserve">- Same-day creative swaps for campaign agility</w:t>
      </w:r>
      <w:r>
        <w:t xml:space="preserve"> </w:t>
      </w:r>
      <w:r>
        <w:t xml:space="preserve">- Audience retargeting capabilities</w:t>
      </w:r>
      <w:r>
        <w:t xml:space="preserve"> </w:t>
      </w:r>
      <w:r>
        <w:t xml:space="preserve">- Test-and-learn optimization approaches</w:t>
      </w:r>
    </w:p>
    <w:p>
      <w:pPr>
        <w:pStyle w:val="BodyText"/>
      </w:pPr>
      <w:r>
        <w:rPr>
          <w:b/>
          <w:bCs/>
        </w:rPr>
        <w:t xml:space="preserve">Performance Metrics:</w:t>
      </w:r>
      <w:r>
        <w:t xml:space="preserve"> </w:t>
      </w:r>
      <w:r>
        <w:t xml:space="preserve">- JCDecaux reported</w:t>
      </w:r>
      <w:r>
        <w:t xml:space="preserve"> </w:t>
      </w:r>
      <w:r>
        <w:rPr>
          <w:b/>
          <w:bCs/>
        </w:rPr>
        <w:t xml:space="preserve">61.8% uplift</w:t>
      </w:r>
      <w:r>
        <w:t xml:space="preserve"> </w:t>
      </w:r>
      <w:r>
        <w:t xml:space="preserve">in platform revenue (H1 2024)</w:t>
      </w:r>
      <w:r>
        <w:t xml:space="preserve"> </w:t>
      </w:r>
      <w:r>
        <w:t xml:space="preserve">- Growth specifically from FMCG and luxury clients</w:t>
      </w:r>
      <w:r>
        <w:t xml:space="preserve"> </w:t>
      </w:r>
      <w:r>
        <w:t xml:space="preserve">- Driven by programmatic buying via VIOOH SSP</w:t>
      </w:r>
    </w:p>
    <w:p>
      <w:pPr>
        <w:pStyle w:val="BodyText"/>
      </w:pPr>
      <w:r>
        <w:rPr>
          <w:b/>
          <w:bCs/>
        </w:rPr>
        <w:t xml:space="preserve">Campaign Tactics:</w:t>
      </w:r>
      <w:r>
        <w:t xml:space="preserve"> </w:t>
      </w:r>
      <w:r>
        <w:t xml:space="preserve">- Programmatic buying for rapid optimization</w:t>
      </w:r>
      <w:r>
        <w:t xml:space="preserve"> </w:t>
      </w:r>
      <w:r>
        <w:t xml:space="preserve">- Point-of-sale proximity targeting (mall screens)</w:t>
      </w:r>
      <w:r>
        <w:t xml:space="preserve"> </w:t>
      </w:r>
      <w:r>
        <w:t xml:space="preserve">- Brand-safe environments for product launches</w:t>
      </w:r>
      <w:r>
        <w:t xml:space="preserve"> </w:t>
      </w:r>
      <w:r>
        <w:t xml:space="preserve">- Weather-driven creative adaptation (beverages)</w:t>
      </w:r>
    </w:p>
    <w:p>
      <w:r>
        <w:pict>
          <v:rect style="width:0;height:1.5pt" o:hralign="center" o:hrstd="t" o:hr="t"/>
        </w:pict>
      </w:r>
    </w:p>
    <w:bookmarkEnd w:id="12"/>
    <w:bookmarkStart w:id="13" w:name="automotive---fastest-budget-increases"/>
    <w:p>
      <w:pPr>
        <w:pStyle w:val="Heading3"/>
      </w:pPr>
      <w:r>
        <w:t xml:space="preserve">#3: Automotive - Fastest Budget Increases</w:t>
      </w:r>
    </w:p>
    <w:p>
      <w:pPr>
        <w:pStyle w:val="FirstParagraph"/>
      </w:pPr>
      <w:r>
        <w:rPr>
          <w:b/>
          <w:bCs/>
        </w:rPr>
        <w:t xml:space="preserve">Market Status:</w:t>
      </w:r>
      <w:r>
        <w:t xml:space="preserve"> </w:t>
      </w:r>
      <w:r>
        <w:t xml:space="preserve">- Traditionally largest OOH/DOOH spenders</w:t>
      </w:r>
      <w:r>
        <w:t xml:space="preserve"> </w:t>
      </w:r>
      <w:r>
        <w:t xml:space="preserve">- Currently recording the</w:t>
      </w:r>
      <w:r>
        <w:t xml:space="preserve"> </w:t>
      </w:r>
      <w:r>
        <w:rPr>
          <w:b/>
          <w:bCs/>
        </w:rPr>
        <w:t xml:space="preserve">fastest budget increases</w:t>
      </w:r>
    </w:p>
    <w:p>
      <w:pPr>
        <w:pStyle w:val="BodyText"/>
      </w:pPr>
      <w:r>
        <w:rPr>
          <w:b/>
          <w:bCs/>
        </w:rPr>
        <w:t xml:space="preserve">Growth Catalysts: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VinFast’s domestic EV surge</w:t>
      </w:r>
      <w:r>
        <w:t xml:space="preserve"> </w:t>
      </w:r>
      <w:r>
        <w:t xml:space="preserve">fueling nationwide campaigns</w:t>
      </w:r>
      <w:r>
        <w:t xml:space="preserve"> </w:t>
      </w:r>
      <w:r>
        <w:t xml:space="preserve">- Test-drive promotions via highway megaboards</w:t>
      </w:r>
      <w:r>
        <w:t xml:space="preserve"> </w:t>
      </w:r>
      <w:r>
        <w:t xml:space="preserve">- Large-format displays for vehicle showcases</w:t>
      </w:r>
      <w:r>
        <w:t xml:space="preserve"> </w:t>
      </w:r>
      <w:r>
        <w:t xml:space="preserve">- Model year launches (typically Q4-Q1)</w:t>
      </w:r>
    </w:p>
    <w:p>
      <w:pPr>
        <w:pStyle w:val="BodyText"/>
      </w:pPr>
      <w:r>
        <w:rPr>
          <w:b/>
          <w:bCs/>
        </w:rPr>
        <w:t xml:space="preserve">Format Preferences:</w:t>
      </w:r>
      <w:r>
        <w:t xml:space="preserve"> </w:t>
      </w:r>
      <w:r>
        <w:t xml:space="preserve">- Highway megaboards</w:t>
      </w:r>
      <w:r>
        <w:t xml:space="preserve"> </w:t>
      </w:r>
      <w:r>
        <w:t xml:space="preserve">- Static billboards for vehicle launches</w:t>
      </w:r>
      <w:r>
        <w:t xml:space="preserve"> </w:t>
      </w:r>
      <w:r>
        <w:t xml:space="preserve">- Premium highway inventory</w:t>
      </w:r>
      <w:r>
        <w:t xml:space="preserve"> </w:t>
      </w:r>
      <w:r>
        <w:t xml:space="preserve">- Large-format brand-building displays</w:t>
      </w:r>
    </w:p>
    <w:p>
      <w:pPr>
        <w:pStyle w:val="BodyText"/>
      </w:pPr>
      <w:r>
        <w:rPr>
          <w:b/>
          <w:bCs/>
        </w:rPr>
        <w:t xml:space="preserve">Campaign Objectives:</w:t>
      </w:r>
      <w:r>
        <w:t xml:space="preserve"> </w:t>
      </w:r>
      <w:r>
        <w:t xml:space="preserve">- Showroom visits</w:t>
      </w:r>
      <w:r>
        <w:t xml:space="preserve"> </w:t>
      </w:r>
      <w:r>
        <w:t xml:space="preserve">- Test-drive bookings</w:t>
      </w:r>
      <w:r>
        <w:t xml:space="preserve"> </w:t>
      </w:r>
      <w:r>
        <w:t xml:space="preserve">- Brand consideration lift</w:t>
      </w:r>
      <w:r>
        <w:t xml:space="preserve"> </w:t>
      </w:r>
      <w:r>
        <w:t xml:space="preserve">- Innovation showcases (especially EVs)</w:t>
      </w:r>
    </w:p>
    <w:p>
      <w:r>
        <w:pict>
          <v:rect style="width:0;height:1.5pt" o:hralign="center" o:hrstd="t" o:hr="t"/>
        </w:pict>
      </w:r>
    </w:p>
    <w:bookmarkEnd w:id="13"/>
    <w:bookmarkStart w:id="14" w:name="X50a5ca3f9907b28dd146eda863c8eeb6aa2d03d"/>
    <w:p>
      <w:pPr>
        <w:pStyle w:val="Heading3"/>
      </w:pPr>
      <w:r>
        <w:t xml:space="preserve">#4: Telecom and Technology - Highest Growth Rate</w:t>
      </w:r>
    </w:p>
    <w:p>
      <w:pPr>
        <w:pStyle w:val="FirstParagraph"/>
      </w:pPr>
      <w:r>
        <w:rPr>
          <w:b/>
          <w:bCs/>
        </w:rPr>
        <w:t xml:space="preserve">Current Position:</w:t>
      </w:r>
      <w:r>
        <w:t xml:space="preserve"> </w:t>
      </w:r>
      <w:r>
        <w:t xml:space="preserve">- Technology &amp; Electronics: only</w:t>
      </w:r>
      <w:r>
        <w:t xml:space="preserve"> </w:t>
      </w:r>
      <w:r>
        <w:rPr>
          <w:b/>
          <w:bCs/>
        </w:rPr>
        <w:t xml:space="preserve">1.93%</w:t>
      </w:r>
      <w:r>
        <w:t xml:space="preserve"> </w:t>
      </w:r>
      <w:r>
        <w:t xml:space="preserve">of digital ad spending (2024)</w:t>
      </w:r>
      <w:r>
        <w:t xml:space="preserve"> </w:t>
      </w:r>
      <w:r>
        <w:t xml:space="preserve">- Ranked last among major categories currently</w:t>
      </w:r>
    </w:p>
    <w:p>
      <w:pPr>
        <w:pStyle w:val="BodyText"/>
      </w:pPr>
      <w:r>
        <w:rPr>
          <w:b/>
          <w:bCs/>
        </w:rPr>
        <w:t xml:space="preserve">Future Trajectory:</w:t>
      </w:r>
      <w:r>
        <w:t xml:space="preserve"> </w:t>
      </w:r>
      <w:r>
        <w:t xml:space="preserve">- Expected to post</w:t>
      </w:r>
      <w:r>
        <w:t xml:space="preserve"> </w:t>
      </w:r>
      <w:r>
        <w:rPr>
          <w:b/>
          <w:bCs/>
        </w:rPr>
        <w:t xml:space="preserve">HIGHEST CAGR at 7.04%</w:t>
      </w:r>
      <w:r>
        <w:t xml:space="preserve"> </w:t>
      </w:r>
      <w:r>
        <w:t xml:space="preserve">through 2030</w:t>
      </w:r>
      <w:r>
        <w:t xml:space="preserve"> </w:t>
      </w:r>
      <w:r>
        <w:t xml:space="preserve">- OOH/DOOH sector specifically</w:t>
      </w:r>
    </w:p>
    <w:p>
      <w:pPr>
        <w:pStyle w:val="BodyText"/>
      </w:pPr>
      <w:r>
        <w:rPr>
          <w:b/>
          <w:bCs/>
        </w:rPr>
        <w:t xml:space="preserve">Growth Drivers: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5G rollouts</w:t>
      </w:r>
      <w:r>
        <w:t xml:space="preserve"> </w:t>
      </w:r>
      <w:r>
        <w:t xml:space="preserve">intensifying competition</w:t>
      </w:r>
      <w:r>
        <w:t xml:space="preserve"> </w:t>
      </w:r>
      <w:r>
        <w:t xml:space="preserve">- Viettel, Vinaphone, and MobiFone competitive wars</w:t>
      </w:r>
      <w:r>
        <w:t xml:space="preserve"> </w:t>
      </w:r>
      <w:r>
        <w:t xml:space="preserve">- Smartphone-triggered experiential screens</w:t>
      </w:r>
      <w:r>
        <w:t xml:space="preserve"> </w:t>
      </w:r>
      <w:r>
        <w:t xml:space="preserve">- App install campaigns</w:t>
      </w:r>
    </w:p>
    <w:p>
      <w:pPr>
        <w:pStyle w:val="BodyText"/>
      </w:pPr>
      <w:r>
        <w:rPr>
          <w:b/>
          <w:bCs/>
        </w:rPr>
        <w:t xml:space="preserve">Market Share Context:</w:t>
      </w:r>
      <w:r>
        <w:t xml:space="preserve"> </w:t>
      </w:r>
      <w:r>
        <w:t xml:space="preserve">- Viettel: 54.2% market share, leading 5G rollout</w:t>
      </w:r>
      <w:r>
        <w:t xml:space="preserve"> </w:t>
      </w:r>
      <w:r>
        <w:t xml:space="preserve">- Vinaphone/VNPT: 23.11% market share, 5G launched Dec 2024</w:t>
      </w:r>
      <w:r>
        <w:t xml:space="preserve"> </w:t>
      </w:r>
      <w:r>
        <w:t xml:space="preserve">- MobiFone: 18.57% market share, 5G expected H1 2025</w:t>
      </w:r>
    </w:p>
    <w:p>
      <w:pPr>
        <w:pStyle w:val="BodyText"/>
      </w:pPr>
      <w:r>
        <w:rPr>
          <w:b/>
          <w:bCs/>
        </w:rPr>
        <w:t xml:space="preserve">Format Preferences:</w:t>
      </w:r>
      <w:r>
        <w:t xml:space="preserve"> </w:t>
      </w:r>
      <w:r>
        <w:t xml:space="preserve">- Metro station interactive displays</w:t>
      </w:r>
      <w:r>
        <w:t xml:space="preserve"> </w:t>
      </w:r>
      <w:r>
        <w:t xml:space="preserve">- Smartphone-triggered experiential screens</w:t>
      </w:r>
      <w:r>
        <w:t xml:space="preserve"> </w:t>
      </w:r>
      <w:r>
        <w:t xml:space="preserve">- App install-focused placements</w:t>
      </w:r>
      <w:r>
        <w:t xml:space="preserve"> </w:t>
      </w:r>
      <w:r>
        <w:t xml:space="preserve">- Mobile action-driving formats</w:t>
      </w:r>
    </w:p>
    <w:p>
      <w:r>
        <w:pict>
          <v:rect style="width:0;height:1.5pt" o:hralign="center" o:hrstd="t" o:hr="t"/>
        </w:pict>
      </w:r>
    </w:p>
    <w:bookmarkEnd w:id="14"/>
    <w:bookmarkStart w:id="15" w:name="Xe7331e5b5da6620817c49b633752a02908025bd"/>
    <w:p>
      <w:pPr>
        <w:pStyle w:val="Heading3"/>
      </w:pPr>
      <w:r>
        <w:t xml:space="preserve">#5: Banking, Financial Services &amp; Insurance (BFSI)</w:t>
      </w:r>
    </w:p>
    <w:p>
      <w:pPr>
        <w:pStyle w:val="FirstParagraph"/>
      </w:pPr>
      <w:r>
        <w:rPr>
          <w:b/>
          <w:bCs/>
        </w:rPr>
        <w:t xml:space="preserve">Market Growth:</w:t>
      </w:r>
      <w:r>
        <w:t xml:space="preserve"> </w:t>
      </w:r>
      <w:r>
        <w:t xml:space="preserve">- Banking brands recorded</w:t>
      </w:r>
      <w:r>
        <w:t xml:space="preserve"> </w:t>
      </w:r>
      <w:r>
        <w:rPr>
          <w:b/>
          <w:bCs/>
        </w:rPr>
        <w:t xml:space="preserve">10% brand value growth</w:t>
      </w:r>
      <w:r>
        <w:t xml:space="preserve"> </w:t>
      </w:r>
      <w:r>
        <w:t xml:space="preserve">to USD $13.8 billion (2024)</w:t>
      </w:r>
      <w:r>
        <w:t xml:space="preserve"> </w:t>
      </w:r>
      <w:r>
        <w:t xml:space="preserve">- Diversifying creative to reach newly insured households</w:t>
      </w:r>
    </w:p>
    <w:p>
      <w:pPr>
        <w:pStyle w:val="BodyText"/>
      </w:pPr>
      <w:r>
        <w:rPr>
          <w:b/>
          <w:bCs/>
        </w:rPr>
        <w:t xml:space="preserve">Strategic Focus:</w:t>
      </w:r>
      <w:r>
        <w:t xml:space="preserve"> </w:t>
      </w:r>
      <w:r>
        <w:t xml:space="preserve">- Targeting middle-class financial inclusion</w:t>
      </w:r>
      <w:r>
        <w:t xml:space="preserve"> </w:t>
      </w:r>
      <w:r>
        <w:t xml:space="preserve">- Fintech app install campaigns</w:t>
      </w:r>
      <w:r>
        <w:t xml:space="preserve"> </w:t>
      </w:r>
      <w:r>
        <w:t xml:space="preserve">- Service awareness and sign-ups</w:t>
      </w:r>
    </w:p>
    <w:p>
      <w:pPr>
        <w:pStyle w:val="BodyText"/>
      </w:pPr>
      <w:r>
        <w:rPr>
          <w:b/>
          <w:bCs/>
        </w:rPr>
        <w:t xml:space="preserve">Format Preferences:</w:t>
      </w:r>
      <w:r>
        <w:t xml:space="preserve"> </w:t>
      </w:r>
      <w:r>
        <w:t xml:space="preserve">- Metro station interactive displays</w:t>
      </w:r>
      <w:r>
        <w:t xml:space="preserve"> </w:t>
      </w:r>
      <w:r>
        <w:t xml:space="preserve">- QR code-enabled screens</w:t>
      </w:r>
      <w:r>
        <w:t xml:space="preserve"> </w:t>
      </w:r>
      <w:r>
        <w:t xml:space="preserve">- Mobile app download optimization</w:t>
      </w:r>
      <w:r>
        <w:t xml:space="preserve"> </w:t>
      </w:r>
      <w:r>
        <w:t xml:space="preserve">- Urban professional targeting</w:t>
      </w:r>
    </w:p>
    <w:p>
      <w:r>
        <w:pict>
          <v:rect style="width:0;height:1.5pt" o:hralign="center" o:hrstd="t" o:hr="t"/>
        </w:pict>
      </w:r>
    </w:p>
    <w:bookmarkEnd w:id="15"/>
    <w:bookmarkStart w:id="16" w:name="healthcare---expanding-investment"/>
    <w:p>
      <w:pPr>
        <w:pStyle w:val="Heading3"/>
      </w:pPr>
      <w:r>
        <w:t xml:space="preserve">#6: Healthcare - Expanding Investment</w:t>
      </w:r>
    </w:p>
    <w:p>
      <w:pPr>
        <w:pStyle w:val="FirstParagraph"/>
      </w:pPr>
      <w:r>
        <w:rPr>
          <w:b/>
          <w:bCs/>
        </w:rPr>
        <w:t xml:space="preserve">Market Trends:</w:t>
      </w:r>
      <w:r>
        <w:t xml:space="preserve"> </w:t>
      </w:r>
      <w:r>
        <w:t xml:space="preserve">- Identified as key driver segment</w:t>
      </w:r>
      <w:r>
        <w:t xml:space="preserve"> </w:t>
      </w:r>
      <w:r>
        <w:t xml:space="preserve">- Expanding campaigns targeting middle-class health consciousness</w:t>
      </w:r>
      <w:r>
        <w:t xml:space="preserve"> </w:t>
      </w:r>
      <w:r>
        <w:t xml:space="preserve">- Growth tied to rising healthcare awareness</w:t>
      </w:r>
    </w:p>
    <w:p>
      <w:r>
        <w:pict>
          <v:rect style="width:0;height:1.5pt" o:hralign="center" o:hrstd="t" o:hr="t"/>
        </w:pict>
      </w:r>
    </w:p>
    <w:bookmarkEnd w:id="16"/>
    <w:bookmarkStart w:id="17" w:name="entertainment-media"/>
    <w:p>
      <w:pPr>
        <w:pStyle w:val="Heading3"/>
      </w:pPr>
      <w:r>
        <w:t xml:space="preserve">#7: Entertainment &amp; Media</w:t>
      </w:r>
    </w:p>
    <w:p>
      <w:pPr>
        <w:pStyle w:val="FirstParagraph"/>
      </w:pPr>
      <w:r>
        <w:rPr>
          <w:b/>
          <w:bCs/>
        </w:rPr>
        <w:t xml:space="preserve">Campaign Strategy:</w:t>
      </w:r>
      <w:r>
        <w:t xml:space="preserve"> </w:t>
      </w:r>
      <w:r>
        <w:t xml:space="preserve">- Synchronizing OOH teasers with film release calendars</w:t>
      </w:r>
      <w:r>
        <w:t xml:space="preserve"> </w:t>
      </w:r>
      <w:r>
        <w:t xml:space="preserve">- Event-based campaigns with shorter cycles</w:t>
      </w:r>
      <w:r>
        <w:t xml:space="preserve"> </w:t>
      </w:r>
      <w:r>
        <w:t xml:space="preserve">- Tactical, high-impact bursts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9" w:name="major-advertisers-brands"/>
    <w:p>
      <w:pPr>
        <w:pStyle w:val="Heading2"/>
      </w:pPr>
      <w:r>
        <w:t xml:space="preserve">2. MAJOR ADVERTISERS &amp; BRANDS</w:t>
      </w:r>
    </w:p>
    <w:bookmarkStart w:id="19" w:name="elite-tier-top-100-companies"/>
    <w:p>
      <w:pPr>
        <w:pStyle w:val="Heading3"/>
      </w:pPr>
      <w:r>
        <w:t xml:space="preserve">Elite Tier: Top 100 Companies</w:t>
      </w:r>
    </w:p>
    <w:p>
      <w:pPr>
        <w:pStyle w:val="FirstParagraph"/>
      </w:pPr>
      <w:r>
        <w:t xml:space="preserve">According to NielsenIQ,</w:t>
      </w:r>
      <w:r>
        <w:t xml:space="preserve"> </w:t>
      </w:r>
      <w:r>
        <w:rPr>
          <w:b/>
          <w:bCs/>
        </w:rPr>
        <w:t xml:space="preserve">91 of the top 100 companies by revenue in Vietnam</w:t>
      </w:r>
      <w:r>
        <w:t xml:space="preserve"> </w:t>
      </w:r>
      <w:r>
        <w:t xml:space="preserve">have chosen Chicilon Media’s elevator advertising platform, with</w:t>
      </w:r>
      <w:r>
        <w:t xml:space="preserve"> </w:t>
      </w:r>
      <w:r>
        <w:rPr>
          <w:b/>
          <w:bCs/>
        </w:rPr>
        <w:t xml:space="preserve">over 700 major domestic and foreign brands</w:t>
      </w:r>
      <w:r>
        <w:t xml:space="preserve"> </w:t>
      </w:r>
      <w:r>
        <w:t xml:space="preserve">actively using DOOH channels.</w:t>
      </w:r>
    </w:p>
    <w:p>
      <w:r>
        <w:pict>
          <v:rect style="width:0;height:1.5pt" o:hralign="center" o:hrstd="t" o:hr="t"/>
        </w:pict>
      </w:r>
    </w:p>
    <w:bookmarkEnd w:id="19"/>
    <w:bookmarkStart w:id="28" w:name="confirmed-heavy-dooh-spenders"/>
    <w:p>
      <w:pPr>
        <w:pStyle w:val="Heading3"/>
      </w:pPr>
      <w:r>
        <w:t xml:space="preserve">Confirmed Heavy DOOH Spenders</w:t>
      </w:r>
    </w:p>
    <w:bookmarkStart w:id="20" w:name="consumer-electronics"/>
    <w:p>
      <w:pPr>
        <w:pStyle w:val="Heading4"/>
      </w:pPr>
      <w:r>
        <w:t xml:space="preserve">Consumer Electronics</w:t>
      </w:r>
    </w:p>
    <w:p>
      <w:pPr>
        <w:pStyle w:val="FirstParagraph"/>
      </w:pPr>
      <w:r>
        <w:rPr>
          <w:b/>
          <w:bCs/>
        </w:rPr>
        <w:t xml:space="preserve">OPPO</w:t>
      </w:r>
      <w:r>
        <w:t xml:space="preserve"> </w:t>
      </w:r>
      <w:r>
        <w:t xml:space="preserve">- Ran large-scale elevator advertising campaigns</w:t>
      </w:r>
      <w:r>
        <w:t xml:space="preserve"> </w:t>
      </w:r>
      <w:r>
        <w:t xml:space="preserve">- Achieved breakthrough success surpassing Samsung in market share</w:t>
      </w:r>
      <w:r>
        <w:t xml:space="preserve"> </w:t>
      </w:r>
      <w:r>
        <w:t xml:space="preserve">- Strategic DOOH deployment credited for market leadership shift</w:t>
      </w:r>
    </w:p>
    <w:p>
      <w:r>
        <w:pict>
          <v:rect style="width:0;height:1.5pt" o:hralign="center" o:hrstd="t" o:hr="t"/>
        </w:pict>
      </w:r>
    </w:p>
    <w:bookmarkEnd w:id="20"/>
    <w:bookmarkStart w:id="21" w:name="fmcg-beverage"/>
    <w:p>
      <w:pPr>
        <w:pStyle w:val="Heading4"/>
      </w:pPr>
      <w:r>
        <w:t xml:space="preserve">FMCG &amp; Beverage</w:t>
      </w:r>
    </w:p>
    <w:p>
      <w:pPr>
        <w:pStyle w:val="FirstParagraph"/>
      </w:pPr>
      <w:r>
        <w:rPr>
          <w:b/>
          <w:bCs/>
        </w:rPr>
        <w:t xml:space="preserve">Suntory PepsiCo Vietnam</w:t>
      </w:r>
      <w:r>
        <w:t xml:space="preserve"> </w:t>
      </w:r>
      <w:r>
        <w:t xml:space="preserve">- Active Chicilon Media client</w:t>
      </w:r>
      <w:r>
        <w:t xml:space="preserve"> </w:t>
      </w:r>
      <w:r>
        <w:t xml:space="preserve">- Creative, impactful elevator media campaigns</w:t>
      </w:r>
      <w:r>
        <w:t xml:space="preserve"> </w:t>
      </w:r>
      <w:r>
        <w:t xml:space="preserve">- Programmatic buying adoption</w:t>
      </w:r>
    </w:p>
    <w:p>
      <w:pPr>
        <w:pStyle w:val="BodyText"/>
      </w:pPr>
      <w:r>
        <w:rPr>
          <w:b/>
          <w:bCs/>
        </w:rPr>
        <w:t xml:space="preserve">Nestle</w:t>
      </w:r>
      <w:r>
        <w:t xml:space="preserve"> </w:t>
      </w:r>
      <w:r>
        <w:t xml:space="preserve">- Major participant in Vietnam DOOH ecosystem</w:t>
      </w:r>
      <w:r>
        <w:t xml:space="preserve"> </w:t>
      </w:r>
      <w:r>
        <w:t xml:space="preserve">- Featured in MMA Global elevator digital media forums</w:t>
      </w:r>
      <w:r>
        <w:t xml:space="preserve"> </w:t>
      </w:r>
      <w:r>
        <w:t xml:space="preserve">- Multi-format DOOH presence</w:t>
      </w:r>
    </w:p>
    <w:p>
      <w:pPr>
        <w:pStyle w:val="BodyText"/>
      </w:pPr>
      <w:r>
        <w:rPr>
          <w:b/>
          <w:bCs/>
        </w:rPr>
        <w:t xml:space="preserve">Heineken</w:t>
      </w:r>
      <w:r>
        <w:t xml:space="preserve"> </w:t>
      </w:r>
      <w:r>
        <w:t xml:space="preserve">- Integrated billboard advertising with digital elements</w:t>
      </w:r>
      <w:r>
        <w:t xml:space="preserve"> </w:t>
      </w:r>
      <w:r>
        <w:t xml:space="preserve">- Tet seasonal campaigns</w:t>
      </w:r>
      <w:r>
        <w:t xml:space="preserve"> </w:t>
      </w:r>
      <w:r>
        <w:t xml:space="preserve">- +30% beer sales during Tet period driving seasonal DOOH investment</w:t>
      </w:r>
    </w:p>
    <w:p>
      <w:r>
        <w:pict>
          <v:rect style="width:0;height:1.5pt" o:hralign="center" o:hrstd="t" o:hr="t"/>
        </w:pict>
      </w:r>
    </w:p>
    <w:bookmarkEnd w:id="21"/>
    <w:bookmarkStart w:id="22" w:name="home-construction"/>
    <w:p>
      <w:pPr>
        <w:pStyle w:val="Heading4"/>
      </w:pPr>
      <w:r>
        <w:t xml:space="preserve">Home &amp; Construction</w:t>
      </w:r>
    </w:p>
    <w:p>
      <w:pPr>
        <w:pStyle w:val="FirstParagraph"/>
      </w:pPr>
      <w:r>
        <w:rPr>
          <w:b/>
          <w:bCs/>
        </w:rPr>
        <w:t xml:space="preserve">Nippon Paint</w:t>
      </w:r>
      <w:r>
        <w:t xml:space="preserve"> </w:t>
      </w:r>
      <w:r>
        <w:t xml:space="preserve">- Integrated QR codes in elevator advertisements</w:t>
      </w:r>
      <w:r>
        <w:t xml:space="preserve"> </w:t>
      </w:r>
      <w:r>
        <w:t xml:space="preserve">- Free hotline integration demonstrating interactive DOOH</w:t>
      </w:r>
      <w:r>
        <w:t xml:space="preserve"> </w:t>
      </w:r>
      <w:r>
        <w:t xml:space="preserve">- Direct response measurement</w:t>
      </w:r>
    </w:p>
    <w:p>
      <w:r>
        <w:pict>
          <v:rect style="width:0;height:1.5pt" o:hralign="center" o:hrstd="t" o:hr="t"/>
        </w:pict>
      </w:r>
    </w:p>
    <w:bookmarkEnd w:id="22"/>
    <w:bookmarkStart w:id="23" w:name="automotive"/>
    <w:p>
      <w:pPr>
        <w:pStyle w:val="Heading4"/>
      </w:pPr>
      <w:r>
        <w:t xml:space="preserve">Automotive</w:t>
      </w:r>
    </w:p>
    <w:p>
      <w:pPr>
        <w:pStyle w:val="FirstParagraph"/>
      </w:pPr>
      <w:r>
        <w:rPr>
          <w:b/>
          <w:bCs/>
        </w:rPr>
        <w:t xml:space="preserve">VinFast</w:t>
      </w:r>
      <w:r>
        <w:t xml:space="preserve"> </w:t>
      </w:r>
      <w:r>
        <w:t xml:space="preserve">- Nationwide test-drive promotions via highway megaboards</w:t>
      </w:r>
      <w:r>
        <w:t xml:space="preserve"> </w:t>
      </w:r>
      <w:r>
        <w:t xml:space="preserve">- Historic Times Square DOOH presence (1,000 m² LED display)</w:t>
      </w:r>
      <w:r>
        <w:t xml:space="preserve"> </w:t>
      </w:r>
      <w:r>
        <w:t xml:space="preserve">-</w:t>
      </w:r>
      <w:r>
        <w:t xml:space="preserve"> </w:t>
      </w:r>
      <w:r>
        <w:t xml:space="preserve">“Changing Lanes”</w:t>
      </w:r>
      <w:r>
        <w:t xml:space="preserve"> </w:t>
      </w:r>
      <w:r>
        <w:t xml:space="preserve">campaign (2023)</w:t>
      </w:r>
      <w:r>
        <w:t xml:space="preserve"> </w:t>
      </w:r>
      <w:r>
        <w:t xml:space="preserve">- Domestic EV surge fueling massive DOOH investment</w:t>
      </w:r>
    </w:p>
    <w:p>
      <w:r>
        <w:pict>
          <v:rect style="width:0;height:1.5pt" o:hralign="center" o:hrstd="t" o:hr="t"/>
        </w:pict>
      </w:r>
    </w:p>
    <w:bookmarkEnd w:id="23"/>
    <w:bookmarkStart w:id="24" w:name="luxury-fashion"/>
    <w:p>
      <w:pPr>
        <w:pStyle w:val="Heading4"/>
      </w:pPr>
      <w:r>
        <w:t xml:space="preserve">Luxury &amp; Fashion</w:t>
      </w:r>
    </w:p>
    <w:p>
      <w:pPr>
        <w:pStyle w:val="FirstParagraph"/>
      </w:pPr>
      <w:r>
        <w:rPr>
          <w:b/>
          <w:bCs/>
        </w:rPr>
        <w:t xml:space="preserve">Calvin Klein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27-day programmatic DOOH campaign</w:t>
      </w:r>
      <w:r>
        <w:t xml:space="preserve"> </w:t>
      </w:r>
      <w:r>
        <w:t xml:space="preserve">with Moving Walls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230 screens across 39 sites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1.56 million billable impressions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713K ad plays</w:t>
      </w:r>
      <w:r>
        <w:t xml:space="preserve"> </w:t>
      </w:r>
      <w:r>
        <w:t xml:space="preserve">- Leveraged real-time data and location intelligence</w:t>
      </w:r>
      <w:r>
        <w:t xml:space="preserve"> </w:t>
      </w:r>
      <w:r>
        <w:t xml:space="preserve">- Demonstrates luxury brand adoption of programmatic DOOH</w:t>
      </w:r>
    </w:p>
    <w:p>
      <w:r>
        <w:pict>
          <v:rect style="width:0;height:1.5pt" o:hralign="center" o:hrstd="t" o:hr="t"/>
        </w:pict>
      </w:r>
    </w:p>
    <w:bookmarkEnd w:id="24"/>
    <w:bookmarkStart w:id="25" w:name="financial-services"/>
    <w:p>
      <w:pPr>
        <w:pStyle w:val="Heading4"/>
      </w:pPr>
      <w:r>
        <w:t xml:space="preserve">Financial Services</w:t>
      </w:r>
    </w:p>
    <w:p>
      <w:pPr>
        <w:pStyle w:val="FirstParagraph"/>
      </w:pPr>
      <w:r>
        <w:rPr>
          <w:b/>
          <w:bCs/>
        </w:rPr>
        <w:t xml:space="preserve">Mastercard</w:t>
      </w:r>
      <w:r>
        <w:t xml:space="preserve"> </w:t>
      </w:r>
      <w:r>
        <w:t xml:space="preserve">- Active in Vietnam DOOH ecosystem</w:t>
      </w:r>
      <w:r>
        <w:t xml:space="preserve"> </w:t>
      </w:r>
      <w:r>
        <w:t xml:space="preserve">- Participant in industry forums</w:t>
      </w:r>
      <w:r>
        <w:t xml:space="preserve"> </w:t>
      </w:r>
      <w:r>
        <w:t xml:space="preserve">- Fintech integration campaigns</w:t>
      </w:r>
    </w:p>
    <w:p>
      <w:r>
        <w:pict>
          <v:rect style="width:0;height:1.5pt" o:hralign="center" o:hrstd="t" o:hr="t"/>
        </w:pict>
      </w:r>
    </w:p>
    <w:bookmarkEnd w:id="25"/>
    <w:bookmarkStart w:id="26" w:name="retail-chains-expanding-dooh"/>
    <w:p>
      <w:pPr>
        <w:pStyle w:val="Heading4"/>
      </w:pPr>
      <w:r>
        <w:t xml:space="preserve">Retail Chains Expanding DOOH</w:t>
      </w:r>
    </w:p>
    <w:p>
      <w:pPr>
        <w:pStyle w:val="FirstParagraph"/>
      </w:pPr>
      <w:r>
        <w:rPr>
          <w:b/>
          <w:bCs/>
        </w:rPr>
        <w:t xml:space="preserve">AEON</w:t>
      </w:r>
      <w:r>
        <w:t xml:space="preserve"> </w:t>
      </w:r>
      <w:r>
        <w:t xml:space="preserve">(Japanese mall operator)</w:t>
      </w:r>
      <w:r>
        <w:t xml:space="preserve"> </w:t>
      </w:r>
      <w:r>
        <w:t xml:space="preserve">- Expanding mall interior DOOH screens</w:t>
      </w:r>
      <w:r>
        <w:t xml:space="preserve"> </w:t>
      </w:r>
      <w:r>
        <w:t xml:space="preserve">- Semi-outdoor retail displays</w:t>
      </w:r>
      <w:r>
        <w:t xml:space="preserve"> </w:t>
      </w:r>
      <w:r>
        <w:t xml:space="preserve">- Point-of-sale advertising</w:t>
      </w:r>
    </w:p>
    <w:p>
      <w:pPr>
        <w:pStyle w:val="BodyText"/>
      </w:pPr>
      <w:r>
        <w:rPr>
          <w:b/>
          <w:bCs/>
        </w:rPr>
        <w:t xml:space="preserve">Big C</w:t>
      </w:r>
      <w:r>
        <w:t xml:space="preserve"> </w:t>
      </w:r>
      <w:r>
        <w:t xml:space="preserve">(retail chain)</w:t>
      </w:r>
      <w:r>
        <w:t xml:space="preserve"> </w:t>
      </w:r>
      <w:r>
        <w:t xml:space="preserve">- Domestic retail chain DOOH expansion</w:t>
      </w:r>
      <w:r>
        <w:t xml:space="preserve"> </w:t>
      </w:r>
      <w:r>
        <w:t xml:space="preserve">- Mall interior screens</w:t>
      </w:r>
      <w:r>
        <w:t xml:space="preserve"> </w:t>
      </w:r>
      <w:r>
        <w:t xml:space="preserve">- Promotional campaign coordination</w:t>
      </w:r>
    </w:p>
    <w:p>
      <w:r>
        <w:pict>
          <v:rect style="width:0;height:1.5pt" o:hralign="center" o:hrstd="t" o:hr="t"/>
        </w:pict>
      </w:r>
    </w:p>
    <w:bookmarkEnd w:id="26"/>
    <w:bookmarkStart w:id="27" w:name="Xd2fdf5a7483237e099835d5d5204cc7c65643fd"/>
    <w:p>
      <w:pPr>
        <w:pStyle w:val="Heading4"/>
      </w:pPr>
      <w:r>
        <w:t xml:space="preserve">Telecom (Market Leaders - Inferred Investment)</w:t>
      </w:r>
    </w:p>
    <w:p>
      <w:pPr>
        <w:pStyle w:val="FirstParagraph"/>
      </w:pPr>
      <w:r>
        <w:rPr>
          <w:b/>
          <w:bCs/>
        </w:rPr>
        <w:t xml:space="preserve">Viettel</w:t>
      </w:r>
      <w:r>
        <w:t xml:space="preserve"> </w:t>
      </w:r>
      <w:r>
        <w:t xml:space="preserve">- 54.2% market share</w:t>
      </w:r>
      <w:r>
        <w:t xml:space="preserve"> </w:t>
      </w:r>
      <w:r>
        <w:t xml:space="preserve">- Leading 5G rollout</w:t>
      </w:r>
      <w:r>
        <w:t xml:space="preserve"> </w:t>
      </w:r>
      <w:r>
        <w:t xml:space="preserve">- Competitive pressure driving ad spend</w:t>
      </w:r>
    </w:p>
    <w:p>
      <w:pPr>
        <w:pStyle w:val="BodyText"/>
      </w:pPr>
      <w:r>
        <w:rPr>
          <w:b/>
          <w:bCs/>
        </w:rPr>
        <w:t xml:space="preserve">Vinaphone/VNPT</w:t>
      </w:r>
      <w:r>
        <w:t xml:space="preserve"> </w:t>
      </w:r>
      <w:r>
        <w:t xml:space="preserve">- 23.11% market share</w:t>
      </w:r>
      <w:r>
        <w:t xml:space="preserve"> </w:t>
      </w:r>
      <w:r>
        <w:t xml:space="preserve">- 5G launch December 2024</w:t>
      </w:r>
      <w:r>
        <w:t xml:space="preserve"> </w:t>
      </w:r>
      <w:r>
        <w:t xml:space="preserve">- Service differentiation campaigns</w:t>
      </w:r>
    </w:p>
    <w:p>
      <w:pPr>
        <w:pStyle w:val="BodyText"/>
      </w:pPr>
      <w:r>
        <w:rPr>
          <w:b/>
          <w:bCs/>
        </w:rPr>
        <w:t xml:space="preserve">MobiFone</w:t>
      </w:r>
      <w:r>
        <w:t xml:space="preserve"> </w:t>
      </w:r>
      <w:r>
        <w:t xml:space="preserve">- 18.57% market share</w:t>
      </w:r>
      <w:r>
        <w:t xml:space="preserve"> </w:t>
      </w:r>
      <w:r>
        <w:t xml:space="preserve">- 5G expected H1 2025</w:t>
      </w:r>
      <w:r>
        <w:t xml:space="preserve"> </w:t>
      </w:r>
      <w:r>
        <w:t xml:space="preserve">- Market share defense spending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5" w:name="campaign-strategies-by-advertiser-type"/>
    <w:p>
      <w:pPr>
        <w:pStyle w:val="Heading2"/>
      </w:pPr>
      <w:r>
        <w:t xml:space="preserve">3. CAMPAIGN STRATEGIES BY ADVERTISER TYPE</w:t>
      </w:r>
    </w:p>
    <w:bookmarkStart w:id="30" w:name="fmcg-brands"/>
    <w:p>
      <w:pPr>
        <w:pStyle w:val="Heading3"/>
      </w:pPr>
      <w:r>
        <w:t xml:space="preserve">FMCG Brands</w:t>
      </w:r>
    </w:p>
    <w:p>
      <w:pPr>
        <w:pStyle w:val="FirstParagraph"/>
      </w:pPr>
      <w:r>
        <w:rPr>
          <w:b/>
          <w:bCs/>
        </w:rPr>
        <w:t xml:space="preserve">Tactical Approach:</w:t>
      </w:r>
      <w:r>
        <w:t xml:space="preserve"> </w:t>
      </w:r>
      <w:r>
        <w:t xml:space="preserve">- Programmatic buying for agility and day-of creative optimization</w:t>
      </w:r>
      <w:r>
        <w:t xml:space="preserve"> </w:t>
      </w:r>
      <w:r>
        <w:t xml:space="preserve">- Audience retargeting capabilities</w:t>
      </w:r>
      <w:r>
        <w:t xml:space="preserve"> </w:t>
      </w:r>
      <w:r>
        <w:t xml:space="preserve">- Point-of-sale proximity targeting (mall screens)</w:t>
      </w:r>
      <w:r>
        <w:t xml:space="preserve"> </w:t>
      </w:r>
      <w:r>
        <w:t xml:space="preserve">- Brand-safe environments for launches</w:t>
      </w:r>
    </w:p>
    <w:p>
      <w:pPr>
        <w:pStyle w:val="BodyText"/>
      </w:pPr>
      <w:r>
        <w:rPr>
          <w:b/>
          <w:bCs/>
        </w:rPr>
        <w:t xml:space="preserve">Budget Allocation:</w:t>
      </w:r>
      <w:r>
        <w:t xml:space="preserve"> </w:t>
      </w:r>
      <w:r>
        <w:t xml:space="preserve">- Year-round presence with seasonal peaks</w:t>
      </w:r>
      <w:r>
        <w:t xml:space="preserve"> </w:t>
      </w:r>
      <w:r>
        <w:t xml:space="preserve">- Programmatic efficiency driving ROI</w:t>
      </w:r>
      <w:r>
        <w:t xml:space="preserve"> </w:t>
      </w:r>
      <w:r>
        <w:t xml:space="preserve">- Multi-format deployment</w:t>
      </w:r>
    </w:p>
    <w:p>
      <w:r>
        <w:pict>
          <v:rect style="width:0;height:1.5pt" o:hralign="center" o:hrstd="t" o:hr="t"/>
        </w:pict>
      </w:r>
    </w:p>
    <w:bookmarkEnd w:id="30"/>
    <w:bookmarkStart w:id="31" w:name="luxury-brands"/>
    <w:p>
      <w:pPr>
        <w:pStyle w:val="Heading3"/>
      </w:pPr>
      <w:r>
        <w:t xml:space="preserve">Luxury Brands</w:t>
      </w:r>
    </w:p>
    <w:p>
      <w:pPr>
        <w:pStyle w:val="FirstParagraph"/>
      </w:pPr>
      <w:r>
        <w:rPr>
          <w:b/>
          <w:bCs/>
        </w:rPr>
        <w:t xml:space="preserve">Tactical Approach:</w:t>
      </w:r>
      <w:r>
        <w:t xml:space="preserve"> </w:t>
      </w:r>
      <w:r>
        <w:t xml:space="preserve">- Data-driven location targeting</w:t>
      </w:r>
      <w:r>
        <w:t xml:space="preserve"> </w:t>
      </w:r>
      <w:r>
        <w:t xml:space="preserve">- Premium inventory selection (high-traffic, affluent areas)</w:t>
      </w:r>
      <w:r>
        <w:t xml:space="preserve"> </w:t>
      </w:r>
      <w:r>
        <w:t xml:space="preserve">- Sophisticated creative (3D billboards, CGI-simulated OOH)</w:t>
      </w:r>
      <w:r>
        <w:t xml:space="preserve"> </w:t>
      </w:r>
      <w:r>
        <w:t xml:space="preserve">- Contextual timing optimization</w:t>
      </w:r>
    </w:p>
    <w:p>
      <w:pPr>
        <w:pStyle w:val="BodyText"/>
      </w:pPr>
      <w:r>
        <w:rPr>
          <w:b/>
          <w:bCs/>
        </w:rPr>
        <w:t xml:space="preserve">Budget Characteristics:</w:t>
      </w:r>
      <w:r>
        <w:t xml:space="preserve"> </w:t>
      </w:r>
      <w:r>
        <w:t xml:space="preserve">- Willing to pay premium CPMs for quality</w:t>
      </w:r>
      <w:r>
        <w:t xml:space="preserve"> </w:t>
      </w:r>
      <w:r>
        <w:t xml:space="preserve">- Longer campaign durations for brand building</w:t>
      </w:r>
      <w:r>
        <w:t xml:space="preserve"> </w:t>
      </w:r>
      <w:r>
        <w:t xml:space="preserve">- International coordination (global campaigns)</w:t>
      </w:r>
    </w:p>
    <w:p>
      <w:r>
        <w:pict>
          <v:rect style="width:0;height:1.5pt" o:hralign="center" o:hrstd="t" o:hr="t"/>
        </w:pict>
      </w:r>
    </w:p>
    <w:bookmarkEnd w:id="31"/>
    <w:bookmarkStart w:id="32" w:name="automotive-1"/>
    <w:p>
      <w:pPr>
        <w:pStyle w:val="Heading3"/>
      </w:pPr>
      <w:r>
        <w:t xml:space="preserve">Automotive</w:t>
      </w:r>
    </w:p>
    <w:p>
      <w:pPr>
        <w:pStyle w:val="FirstParagraph"/>
      </w:pPr>
      <w:r>
        <w:rPr>
          <w:b/>
          <w:bCs/>
        </w:rPr>
        <w:t xml:space="preserve">Tactical Approach:</w:t>
      </w:r>
      <w:r>
        <w:t xml:space="preserve"> </w:t>
      </w:r>
      <w:r>
        <w:t xml:space="preserve">- Nationwide highway megaboard takeovers</w:t>
      </w:r>
      <w:r>
        <w:t xml:space="preserve"> </w:t>
      </w:r>
      <w:r>
        <w:t xml:space="preserve">- Test-drive event coordination</w:t>
      </w:r>
      <w:r>
        <w:t xml:space="preserve"> </w:t>
      </w:r>
      <w:r>
        <w:t xml:space="preserve">- Geographic conquest campaigns</w:t>
      </w:r>
      <w:r>
        <w:t xml:space="preserve"> </w:t>
      </w:r>
      <w:r>
        <w:t xml:space="preserve">- Long-duration brand-building</w:t>
      </w:r>
    </w:p>
    <w:p>
      <w:pPr>
        <w:pStyle w:val="BodyText"/>
      </w:pPr>
      <w:r>
        <w:rPr>
          <w:b/>
          <w:bCs/>
        </w:rPr>
        <w:t xml:space="preserve">Budget Characteristics:</w:t>
      </w:r>
      <w:r>
        <w:t xml:space="preserve"> </w:t>
      </w:r>
      <w:r>
        <w:t xml:space="preserve">- Large format investments</w:t>
      </w:r>
      <w:r>
        <w:t xml:space="preserve"> </w:t>
      </w:r>
      <w:r>
        <w:t xml:space="preserve">- Model launch spikes</w:t>
      </w:r>
      <w:r>
        <w:t xml:space="preserve"> </w:t>
      </w:r>
      <w:r>
        <w:t xml:space="preserve">- Sustained brand presence between launches</w:t>
      </w:r>
    </w:p>
    <w:p>
      <w:r>
        <w:pict>
          <v:rect style="width:0;height:1.5pt" o:hralign="center" o:hrstd="t" o:hr="t"/>
        </w:pict>
      </w:r>
    </w:p>
    <w:bookmarkEnd w:id="32"/>
    <w:bookmarkStart w:id="33" w:name="retail"/>
    <w:p>
      <w:pPr>
        <w:pStyle w:val="Heading3"/>
      </w:pPr>
      <w:r>
        <w:t xml:space="preserve">Retail</w:t>
      </w:r>
    </w:p>
    <w:p>
      <w:pPr>
        <w:pStyle w:val="FirstParagraph"/>
      </w:pPr>
      <w:r>
        <w:rPr>
          <w:b/>
          <w:bCs/>
        </w:rPr>
        <w:t xml:space="preserve">Tactical Approach:</w:t>
      </w:r>
      <w:r>
        <w:t xml:space="preserve"> </w:t>
      </w:r>
      <w:r>
        <w:t xml:space="preserve">- Driving in-store traffic amid e-commerce pressure</w:t>
      </w:r>
      <w:r>
        <w:t xml:space="preserve"> </w:t>
      </w:r>
      <w:r>
        <w:t xml:space="preserve">- Near-POS mall screens for last-meter marketing</w:t>
      </w:r>
      <w:r>
        <w:t xml:space="preserve"> </w:t>
      </w:r>
      <w:r>
        <w:t xml:space="preserve">- Broad reach roadside inventory</w:t>
      </w:r>
      <w:r>
        <w:t xml:space="preserve"> </w:t>
      </w:r>
      <w:r>
        <w:t xml:space="preserve">- Promotional campaign coordination</w:t>
      </w:r>
    </w:p>
    <w:p>
      <w:pPr>
        <w:pStyle w:val="BodyText"/>
      </w:pPr>
      <w:r>
        <w:rPr>
          <w:b/>
          <w:bCs/>
        </w:rPr>
        <w:t xml:space="preserve">Budget Characteristics:</w:t>
      </w:r>
      <w:r>
        <w:t xml:space="preserve"> </w:t>
      </w:r>
      <w:r>
        <w:t xml:space="preserve">- 44.49% of total market</w:t>
      </w:r>
      <w:r>
        <w:t xml:space="preserve"> </w:t>
      </w:r>
      <w:r>
        <w:t xml:space="preserve">- Volume buying power</w:t>
      </w:r>
      <w:r>
        <w:t xml:space="preserve"> </w:t>
      </w:r>
      <w:r>
        <w:t xml:space="preserve">- Continuous presence with promotional pulses</w:t>
      </w:r>
    </w:p>
    <w:p>
      <w:r>
        <w:pict>
          <v:rect style="width:0;height:1.5pt" o:hralign="center" o:hrstd="t" o:hr="t"/>
        </w:pict>
      </w:r>
    </w:p>
    <w:bookmarkEnd w:id="33"/>
    <w:bookmarkStart w:id="34" w:name="telecomtechnology"/>
    <w:p>
      <w:pPr>
        <w:pStyle w:val="Heading3"/>
      </w:pPr>
      <w:r>
        <w:t xml:space="preserve">Telecom/Technology</w:t>
      </w:r>
    </w:p>
    <w:p>
      <w:pPr>
        <w:pStyle w:val="FirstParagraph"/>
      </w:pPr>
      <w:r>
        <w:rPr>
          <w:b/>
          <w:bCs/>
        </w:rPr>
        <w:t xml:space="preserve">Tactical Approach:</w:t>
      </w:r>
      <w:r>
        <w:t xml:space="preserve"> </w:t>
      </w:r>
      <w:r>
        <w:t xml:space="preserve">- Interactive metro screens drive immediate mobile actions</w:t>
      </w:r>
      <w:r>
        <w:t xml:space="preserve"> </w:t>
      </w:r>
      <w:r>
        <w:t xml:space="preserve">- App download optimization</w:t>
      </w:r>
      <w:r>
        <w:t xml:space="preserve"> </w:t>
      </w:r>
      <w:r>
        <w:t xml:space="preserve">- Service launch takeovers</w:t>
      </w:r>
      <w:r>
        <w:t xml:space="preserve"> </w:t>
      </w:r>
      <w:r>
        <w:t xml:space="preserve">- Competitive conquest messaging</w:t>
      </w:r>
    </w:p>
    <w:p>
      <w:pPr>
        <w:pStyle w:val="BodyText"/>
      </w:pPr>
      <w:r>
        <w:rPr>
          <w:b/>
          <w:bCs/>
        </w:rPr>
        <w:t xml:space="preserve">Budget Characteristics:</w:t>
      </w:r>
      <w:r>
        <w:t xml:space="preserve"> </w:t>
      </w:r>
      <w:r>
        <w:t xml:space="preserve">- 7.04% CAGR (highest growth rate)</w:t>
      </w:r>
      <w:r>
        <w:t xml:space="preserve"> </w:t>
      </w:r>
      <w:r>
        <w:t xml:space="preserve">- 5G launch spending surges</w:t>
      </w:r>
      <w:r>
        <w:t xml:space="preserve"> </w:t>
      </w:r>
      <w:r>
        <w:t xml:space="preserve">- Market share defense investments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4" w:name="buyer-behavior-patterns"/>
    <w:p>
      <w:pPr>
        <w:pStyle w:val="Heading2"/>
      </w:pPr>
      <w:r>
        <w:t xml:space="preserve">4. BUYER BEHAVIOR PATTERNS</w:t>
      </w:r>
    </w:p>
    <w:bookmarkStart w:id="39" w:name="campaign-objectives-kpis"/>
    <w:p>
      <w:pPr>
        <w:pStyle w:val="Heading3"/>
      </w:pPr>
      <w:r>
        <w:t xml:space="preserve">Campaign Objectives &amp; KPIs</w:t>
      </w:r>
    </w:p>
    <w:bookmarkStart w:id="36" w:name="awareness-reach-campaigns"/>
    <w:p>
      <w:pPr>
        <w:pStyle w:val="Heading4"/>
      </w:pPr>
      <w:r>
        <w:t xml:space="preserve">Awareness &amp; Reach Campaigns</w:t>
      </w:r>
    </w:p>
    <w:p>
      <w:pPr>
        <w:pStyle w:val="Compact"/>
        <w:numPr>
          <w:ilvl w:val="0"/>
          <w:numId w:val="1001"/>
        </w:numPr>
      </w:pPr>
      <w:r>
        <w:t xml:space="preserve">Brand lift studies</w:t>
      </w:r>
    </w:p>
    <w:p>
      <w:pPr>
        <w:pStyle w:val="Compact"/>
        <w:numPr>
          <w:ilvl w:val="0"/>
          <w:numId w:val="1001"/>
        </w:numPr>
      </w:pPr>
      <w:r>
        <w:t xml:space="preserve">Reach/frequency metrics</w:t>
      </w:r>
    </w:p>
    <w:p>
      <w:pPr>
        <w:pStyle w:val="Compact"/>
        <w:numPr>
          <w:ilvl w:val="0"/>
          <w:numId w:val="1001"/>
        </w:numPr>
      </w:pPr>
      <w:r>
        <w:t xml:space="preserve">Share of voice in key markets</w:t>
      </w:r>
    </w:p>
    <w:p>
      <w:pPr>
        <w:pStyle w:val="Compact"/>
        <w:numPr>
          <w:ilvl w:val="0"/>
          <w:numId w:val="1001"/>
        </w:numPr>
      </w:pPr>
      <w:r>
        <w:t xml:space="preserve">Top-of-mind awareness</w:t>
      </w:r>
    </w:p>
    <w:bookmarkEnd w:id="36"/>
    <w:bookmarkStart w:id="37" w:name="direct-response-activation"/>
    <w:p>
      <w:pPr>
        <w:pStyle w:val="Heading4"/>
      </w:pPr>
      <w:r>
        <w:t xml:space="preserve">Direct Response &amp; Activation</w:t>
      </w:r>
    </w:p>
    <w:p>
      <w:pPr>
        <w:pStyle w:val="Compact"/>
        <w:numPr>
          <w:ilvl w:val="0"/>
          <w:numId w:val="1002"/>
        </w:numPr>
      </w:pPr>
      <w:r>
        <w:t xml:space="preserve">QR code scans (e.g., Nippon Paint approach)</w:t>
      </w:r>
    </w:p>
    <w:p>
      <w:pPr>
        <w:pStyle w:val="Compact"/>
        <w:numPr>
          <w:ilvl w:val="0"/>
          <w:numId w:val="1002"/>
        </w:numPr>
      </w:pPr>
      <w:r>
        <w:t xml:space="preserve">App downloads (fintech, telecom)</w:t>
      </w:r>
    </w:p>
    <w:p>
      <w:pPr>
        <w:pStyle w:val="Compact"/>
        <w:numPr>
          <w:ilvl w:val="0"/>
          <w:numId w:val="1002"/>
        </w:numPr>
      </w:pPr>
      <w:r>
        <w:t xml:space="preserve">Store visit attribution</w:t>
      </w:r>
    </w:p>
    <w:p>
      <w:pPr>
        <w:pStyle w:val="Compact"/>
        <w:numPr>
          <w:ilvl w:val="0"/>
          <w:numId w:val="1002"/>
        </w:numPr>
      </w:pPr>
      <w:r>
        <w:t xml:space="preserve">Test-drive bookings (automotive)</w:t>
      </w:r>
    </w:p>
    <w:p>
      <w:pPr>
        <w:pStyle w:val="Compact"/>
        <w:numPr>
          <w:ilvl w:val="0"/>
          <w:numId w:val="1002"/>
        </w:numPr>
      </w:pPr>
      <w:r>
        <w:t xml:space="preserve">Immediate call-to-action responses</w:t>
      </w:r>
    </w:p>
    <w:bookmarkEnd w:id="37"/>
    <w:bookmarkStart w:id="38" w:name="omnichannel-integration"/>
    <w:p>
      <w:pPr>
        <w:pStyle w:val="Heading4"/>
      </w:pPr>
      <w:r>
        <w:t xml:space="preserve">Omnichannel Integration</w:t>
      </w:r>
    </w:p>
    <w:p>
      <w:pPr>
        <w:pStyle w:val="Compact"/>
        <w:numPr>
          <w:ilvl w:val="0"/>
          <w:numId w:val="1003"/>
        </w:numPr>
      </w:pPr>
      <w:r>
        <w:t xml:space="preserve">DOOH amplifying other channels (2024 trend)</w:t>
      </w:r>
    </w:p>
    <w:p>
      <w:pPr>
        <w:pStyle w:val="Compact"/>
        <w:numPr>
          <w:ilvl w:val="0"/>
          <w:numId w:val="1003"/>
        </w:numPr>
      </w:pPr>
      <w:r>
        <w:t xml:space="preserve">Retargeting audiences exposed to DOOH via mobile/social</w:t>
      </w:r>
    </w:p>
    <w:p>
      <w:pPr>
        <w:pStyle w:val="Compact"/>
        <w:numPr>
          <w:ilvl w:val="0"/>
          <w:numId w:val="1003"/>
        </w:numPr>
      </w:pPr>
      <w:r>
        <w:t xml:space="preserve">Campaign synchronization across channels</w:t>
      </w:r>
    </w:p>
    <w:p>
      <w:pPr>
        <w:pStyle w:val="Compact"/>
        <w:numPr>
          <w:ilvl w:val="0"/>
          <w:numId w:val="1003"/>
        </w:numPr>
      </w:pPr>
      <w:r>
        <w:t xml:space="preserve">Cross-channel attribution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seasonal-spending-patterns"/>
    <w:p>
      <w:pPr>
        <w:pStyle w:val="Heading3"/>
      </w:pPr>
      <w:r>
        <w:t xml:space="preserve">Seasonal Spending Patterns</w:t>
      </w:r>
    </w:p>
    <w:bookmarkStart w:id="40" w:name="Xadc2a49deeeb954728219880e78b8c002a38a08"/>
    <w:p>
      <w:pPr>
        <w:pStyle w:val="Heading4"/>
      </w:pPr>
      <w:r>
        <w:t xml:space="preserve">Tet (Lunar New Year) - Traditional Peak Period</w:t>
      </w:r>
    </w:p>
    <w:p>
      <w:pPr>
        <w:pStyle w:val="FirstParagraph"/>
      </w:pPr>
      <w:r>
        <w:rPr>
          <w:b/>
          <w:bCs/>
        </w:rPr>
        <w:t xml:space="preserve">Historical Patterns:</w:t>
      </w:r>
      <w:r>
        <w:t xml:space="preserve"> </w:t>
      </w:r>
      <w:r>
        <w:t xml:space="preserve">- Spirits brands:</w:t>
      </w:r>
      <w:r>
        <w:t xml:space="preserve"> </w:t>
      </w:r>
      <w:r>
        <w:rPr>
          <w:b/>
          <w:bCs/>
        </w:rPr>
        <w:t xml:space="preserve">60% of yearly sales</w:t>
      </w:r>
      <w:r>
        <w:t xml:space="preserve"> </w:t>
      </w:r>
      <w:r>
        <w:t xml:space="preserve">in 6 weeks leading to Tet</w:t>
      </w:r>
      <w:r>
        <w:t xml:space="preserve"> </w:t>
      </w:r>
      <w:r>
        <w:t xml:space="preserve">- Beer sales:</w:t>
      </w:r>
      <w:r>
        <w:t xml:space="preserve"> </w:t>
      </w:r>
      <w:r>
        <w:rPr>
          <w:b/>
          <w:bCs/>
        </w:rPr>
        <w:t xml:space="preserve">+30%</w:t>
      </w:r>
      <w:r>
        <w:t xml:space="preserve"> </w:t>
      </w:r>
      <w:r>
        <w:t xml:space="preserve">during Tet period</w:t>
      </w:r>
      <w:r>
        <w:t xml:space="preserve"> </w:t>
      </w:r>
      <w:r>
        <w:t xml:space="preserve">- Soft drinks, biscuits, candy: significant increases</w:t>
      </w:r>
      <w:r>
        <w:t xml:space="preserve"> </w:t>
      </w:r>
      <w:r>
        <w:t xml:space="preserve">- Historically highest DOOH spending period</w:t>
      </w:r>
    </w:p>
    <w:p>
      <w:pPr>
        <w:pStyle w:val="BodyText"/>
      </w:pPr>
      <w:r>
        <w:rPr>
          <w:b/>
          <w:bCs/>
        </w:rPr>
        <w:t xml:space="preserve">2024 Tet Disruption - Market Shift: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47% year-over-year decline</w:t>
      </w:r>
      <w:r>
        <w:t xml:space="preserve"> </w:t>
      </w:r>
      <w:r>
        <w:t xml:space="preserve">in consumer engagement during Tet 2024</w:t>
      </w:r>
      <w:r>
        <w:t xml:space="preserve"> </w:t>
      </w:r>
      <w:r>
        <w:t xml:space="preserve">- Family reunion discussions:</w:t>
      </w:r>
      <w:r>
        <w:t xml:space="preserve"> </w:t>
      </w:r>
      <w:r>
        <w:rPr>
          <w:b/>
          <w:bCs/>
        </w:rPr>
        <w:t xml:space="preserve">-77.5%</w:t>
      </w:r>
      <w:r>
        <w:t xml:space="preserve"> </w:t>
      </w:r>
      <w:r>
        <w:t xml:space="preserve">on social media</w:t>
      </w:r>
      <w:r>
        <w:t xml:space="preserve"> </w:t>
      </w:r>
      <w:r>
        <w:t xml:space="preserve">- Traditional nostalgia-based Tet campaigns losing effectiveness</w:t>
      </w:r>
    </w:p>
    <w:p>
      <w:pPr>
        <w:pStyle w:val="BodyText"/>
      </w:pPr>
      <w:r>
        <w:rPr>
          <w:b/>
          <w:bCs/>
        </w:rPr>
        <w:t xml:space="preserve">Strategic Implication:</w:t>
      </w:r>
      <w:r>
        <w:t xml:space="preserve"> </w:t>
      </w:r>
      <w:r>
        <w:t xml:space="preserve">- Brands must innovate beyond traditional Tet messaging</w:t>
      </w:r>
      <w:r>
        <w:t xml:space="preserve"> </w:t>
      </w:r>
      <w:r>
        <w:t xml:space="preserve">- Diversify seasonal spend, don’t over-concentrate on Tet</w:t>
      </w:r>
      <w:r>
        <w:t xml:space="preserve"> </w:t>
      </w:r>
      <w:r>
        <w:t xml:space="preserve">- Year-round programmatic optimization increasingly preferred</w:t>
      </w:r>
    </w:p>
    <w:p>
      <w:r>
        <w:pict>
          <v:rect style="width:0;height:1.5pt" o:hralign="center" o:hrstd="t" o:hr="t"/>
        </w:pict>
      </w:r>
    </w:p>
    <w:bookmarkEnd w:id="40"/>
    <w:bookmarkStart w:id="41" w:name="other-seasonal-considerations"/>
    <w:p>
      <w:pPr>
        <w:pStyle w:val="Heading4"/>
      </w:pPr>
      <w:r>
        <w:t xml:space="preserve">Other Seasonal Considerations</w:t>
      </w:r>
    </w:p>
    <w:p>
      <w:pPr>
        <w:pStyle w:val="FirstParagraph"/>
      </w:pPr>
      <w:r>
        <w:rPr>
          <w:b/>
          <w:bCs/>
        </w:rPr>
        <w:t xml:space="preserve">Entertainment:</w:t>
      </w:r>
      <w:r>
        <w:t xml:space="preserve"> </w:t>
      </w:r>
      <w:r>
        <w:t xml:space="preserve">- Film release calendar synchronization</w:t>
      </w:r>
      <w:r>
        <w:t xml:space="preserve"> </w:t>
      </w:r>
      <w:r>
        <w:t xml:space="preserve">- Event-based shorter campaign cycles</w:t>
      </w:r>
      <w:r>
        <w:t xml:space="preserve"> </w:t>
      </w:r>
      <w:r>
        <w:t xml:space="preserve">- Tactical high-impact bursts</w:t>
      </w:r>
    </w:p>
    <w:p>
      <w:pPr>
        <w:pStyle w:val="BodyText"/>
      </w:pPr>
      <w:r>
        <w:rPr>
          <w:b/>
          <w:bCs/>
        </w:rPr>
        <w:t xml:space="preserve">Automotive:</w:t>
      </w:r>
      <w:r>
        <w:t xml:space="preserve"> </w:t>
      </w:r>
      <w:r>
        <w:t xml:space="preserve">- Model year launches (Q4-Q1)</w:t>
      </w:r>
      <w:r>
        <w:t xml:space="preserve"> </w:t>
      </w:r>
      <w:r>
        <w:t xml:space="preserve">- Test-drive season coordination</w:t>
      </w:r>
      <w:r>
        <w:t xml:space="preserve"> </w:t>
      </w:r>
      <w:r>
        <w:t xml:space="preserve">- Auto show tie-ins</w:t>
      </w:r>
    </w:p>
    <w:p>
      <w:pPr>
        <w:pStyle w:val="BodyText"/>
      </w:pPr>
      <w:r>
        <w:rPr>
          <w:b/>
          <w:bCs/>
        </w:rPr>
        <w:t xml:space="preserve">Retail:</w:t>
      </w:r>
      <w:r>
        <w:t xml:space="preserve"> </w:t>
      </w:r>
      <w:r>
        <w:t xml:space="preserve">- Back-to-school</w:t>
      </w:r>
      <w:r>
        <w:t xml:space="preserve"> </w:t>
      </w:r>
      <w:r>
        <w:t xml:space="preserve">- Black Friday adoption (growing in Vietnam)</w:t>
      </w:r>
      <w:r>
        <w:t xml:space="preserve"> </w:t>
      </w:r>
      <w:r>
        <w:t xml:space="preserve">- Year-end shopping season</w:t>
      </w:r>
      <w:r>
        <w:t xml:space="preserve"> </w:t>
      </w:r>
      <w:r>
        <w:t xml:space="preserve">- E-commerce coordination (Singles Day, etc.)</w:t>
      </w:r>
    </w:p>
    <w:p>
      <w:pPr>
        <w:pStyle w:val="BodyText"/>
      </w:pPr>
      <w:r>
        <w:rPr>
          <w:b/>
          <w:bCs/>
        </w:rPr>
        <w:t xml:space="preserve">FMCG:</w:t>
      </w:r>
      <w:r>
        <w:t xml:space="preserve"> </w:t>
      </w:r>
      <w:r>
        <w:t xml:space="preserve">- Weather-driven (beverage peaks in hot season)</w:t>
      </w:r>
      <w:r>
        <w:t xml:space="preserve"> </w:t>
      </w:r>
      <w:r>
        <w:t xml:space="preserve">- Holiday promotional calendars</w:t>
      </w:r>
      <w:r>
        <w:t xml:space="preserve"> </w:t>
      </w:r>
      <w:r>
        <w:t xml:space="preserve">- Product launch windows</w:t>
      </w:r>
    </w:p>
    <w:p>
      <w:r>
        <w:pict>
          <v:rect style="width:0;height:1.5pt" o:hralign="center" o:hrstd="t" o:hr="t"/>
        </w:pict>
      </w:r>
    </w:p>
    <w:bookmarkEnd w:id="41"/>
    <w:bookmarkStart w:id="42" w:name="emerging-trend"/>
    <w:p>
      <w:pPr>
        <w:pStyle w:val="Heading4"/>
      </w:pPr>
      <w:r>
        <w:t xml:space="preserve">2024-2025 Emerging Trend</w:t>
      </w:r>
    </w:p>
    <w:p>
      <w:pPr>
        <w:pStyle w:val="FirstParagraph"/>
      </w:pPr>
      <w:r>
        <w:rPr>
          <w:b/>
          <w:bCs/>
        </w:rPr>
        <w:t xml:space="preserve">Shift from Seasonal to Continuous:</w:t>
      </w:r>
      <w:r>
        <w:t xml:space="preserve"> </w:t>
      </w:r>
      <w:r>
        <w:t xml:space="preserve">- Moving from seasonal</w:t>
      </w:r>
      <w:r>
        <w:t xml:space="preserve"> </w:t>
      </w:r>
      <w:r>
        <w:t xml:space="preserve">“spray and pray”</w:t>
      </w:r>
      <w:r>
        <w:t xml:space="preserve"> </w:t>
      </w:r>
      <w:r>
        <w:t xml:space="preserve">to year-round programmatic optimization</w:t>
      </w:r>
      <w:r>
        <w:t xml:space="preserve"> </w:t>
      </w:r>
      <w:r>
        <w:t xml:space="preserve">- Real-time creative adaptation based on:</w:t>
      </w:r>
      <w:r>
        <w:t xml:space="preserve"> </w:t>
      </w:r>
      <w:r>
        <w:t xml:space="preserve">- Weather patterns</w:t>
      </w:r>
      <w:r>
        <w:t xml:space="preserve"> </w:t>
      </w:r>
      <w:r>
        <w:t xml:space="preserve">- Local events</w:t>
      </w:r>
      <w:r>
        <w:t xml:space="preserve"> </w:t>
      </w:r>
      <w:r>
        <w:t xml:space="preserve">- Traffic patterns</w:t>
      </w:r>
      <w:r>
        <w:t xml:space="preserve"> </w:t>
      </w:r>
      <w:r>
        <w:t xml:space="preserve">- Competitive activity</w:t>
      </w:r>
      <w:r>
        <w:t xml:space="preserve"> </w:t>
      </w:r>
      <w:r>
        <w:t xml:space="preserve">- Sales data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56" w:name="market-dynamics-spending-data"/>
    <w:p>
      <w:pPr>
        <w:pStyle w:val="Heading2"/>
      </w:pPr>
      <w:r>
        <w:t xml:space="preserve">5. MARKET DYNAMICS &amp; SPENDING DATA</w:t>
      </w:r>
    </w:p>
    <w:bookmarkStart w:id="47" w:name="Xfaa558484e4fbb861675e8ca91989a4e5dd3f1d"/>
    <w:p>
      <w:pPr>
        <w:pStyle w:val="Heading3"/>
      </w:pPr>
      <w:r>
        <w:t xml:space="preserve">Total Advertising Spend Flowing into DOOH</w:t>
      </w:r>
    </w:p>
    <w:bookmarkStart w:id="45" w:name="baseline-figures"/>
    <w:p>
      <w:pPr>
        <w:pStyle w:val="Heading4"/>
      </w:pPr>
      <w:r>
        <w:t xml:space="preserve">2024 Baseline Figures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Digital OOH:</w:t>
      </w:r>
      <w:r>
        <w:t xml:space="preserve"> </w:t>
      </w:r>
      <w:r>
        <w:t xml:space="preserve">USD $107.50 million (primary source)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Alternative estimate:</w:t>
      </w:r>
      <w:r>
        <w:t xml:space="preserve"> </w:t>
      </w:r>
      <w:r>
        <w:t xml:space="preserve">USD $32.60 million (conservative Statista forecast)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Total OOH (Static + Digital):</w:t>
      </w:r>
      <w:r>
        <w:t xml:space="preserve"> </w:t>
      </w:r>
      <w:r>
        <w:t xml:space="preserve">Approximately USD $500 million (2024)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Static OOH share:</w:t>
      </w:r>
      <w:r>
        <w:t xml:space="preserve"> </w:t>
      </w:r>
      <w:r>
        <w:t xml:space="preserve">75.24% of revenue (2024)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Digital OOH share:</w:t>
      </w:r>
      <w:r>
        <w:t xml:space="preserve"> </w:t>
      </w:r>
      <w:r>
        <w:t xml:space="preserve">24.76% of revenue (2024)</w:t>
      </w:r>
    </w:p>
    <w:bookmarkEnd w:id="45"/>
    <w:bookmarkStart w:id="46" w:name="projections"/>
    <w:p>
      <w:pPr>
        <w:pStyle w:val="Heading4"/>
      </w:pPr>
      <w:r>
        <w:t xml:space="preserve">2025 Projections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Total OOH/DOOH Market:</w:t>
      </w:r>
      <w:r>
        <w:t xml:space="preserve"> </w:t>
      </w:r>
      <w:r>
        <w:t xml:space="preserve">USD $129.58 million (combined)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Vietnam Total Advertising Market:</w:t>
      </w:r>
      <w:r>
        <w:t xml:space="preserve"> </w:t>
      </w:r>
      <w:r>
        <w:t xml:space="preserve">USD $2.93 billion (2025)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DOOH as % of Total Ad Market:</w:t>
      </w:r>
      <w:r>
        <w:t xml:space="preserve"> </w:t>
      </w:r>
      <w:r>
        <w:t xml:space="preserve">3.6-11% depending on methodology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growth-rates-projections"/>
    <w:p>
      <w:pPr>
        <w:pStyle w:val="Heading3"/>
      </w:pPr>
      <w:r>
        <w:t xml:space="preserve">Growth Rates &amp; Projections</w:t>
      </w:r>
    </w:p>
    <w:bookmarkStart w:id="48" w:name="short-term-2024-2025"/>
    <w:p>
      <w:pPr>
        <w:pStyle w:val="Heading4"/>
      </w:pPr>
      <w:r>
        <w:t xml:space="preserve">Short-Term (2024-2025)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Digital OOH:</w:t>
      </w:r>
      <w:r>
        <w:t xml:space="preserve"> </w:t>
      </w:r>
      <w:r>
        <w:t xml:space="preserve">12.54% CAGR through 2030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Static OOH:</w:t>
      </w:r>
      <w:r>
        <w:t xml:space="preserve"> </w:t>
      </w:r>
      <w:r>
        <w:t xml:space="preserve">Slower growth, maintaining 75.24% share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Programmatic DOOH:</w:t>
      </w:r>
      <w:r>
        <w:t xml:space="preserve"> </w:t>
      </w:r>
      <w:r>
        <w:t xml:space="preserve">7.19% CAGR (Southeast Asia regional)</w:t>
      </w:r>
    </w:p>
    <w:bookmarkEnd w:id="48"/>
    <w:bookmarkStart w:id="49" w:name="long-term-2024-2030"/>
    <w:p>
      <w:pPr>
        <w:pStyle w:val="Heading4"/>
      </w:pPr>
      <w:r>
        <w:t xml:space="preserve">Long-Term (2024-2030)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Total market:</w:t>
      </w:r>
      <w:r>
        <w:t xml:space="preserve"> </w:t>
      </w:r>
      <w:r>
        <w:t xml:space="preserve">5.74% CAGR (conservative)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Digital OOH:</w:t>
      </w:r>
      <w:r>
        <w:t xml:space="preserve"> </w:t>
      </w:r>
      <w:r>
        <w:t xml:space="preserve">USD $39.1M to</w:t>
      </w:r>
      <w:r>
        <w:t xml:space="preserve"> </w:t>
      </w:r>
      <w:r>
        <w:rPr>
          <w:b/>
          <w:bCs/>
        </w:rPr>
        <w:t xml:space="preserve">USD $282.40M by 2033</w:t>
      </w:r>
      <w:r>
        <w:t xml:space="preserve"> </w:t>
      </w:r>
      <w:r>
        <w:t xml:space="preserve">(10.14% CAGR - aggressive projection)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Mall/Retail Interior:</w:t>
      </w:r>
      <w:r>
        <w:t xml:space="preserve"> </w:t>
      </w:r>
      <w:r>
        <w:t xml:space="preserve">7.70% CAGR - projected USD $15.4M by 2030</w:t>
      </w:r>
    </w:p>
    <w:p>
      <w:r>
        <w:pict>
          <v:rect style="width:0;height:1.5pt" o:hralign="center" o:hrstd="t" o:hr="t"/>
        </w:pict>
      </w:r>
    </w:p>
    <w:bookmarkEnd w:id="49"/>
    <w:bookmarkStart w:id="50" w:name="sector-specific-growth-rates"/>
    <w:p>
      <w:pPr>
        <w:pStyle w:val="Heading4"/>
      </w:pPr>
      <w:r>
        <w:t xml:space="preserve">Sector-Specific Growth Rates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Telecom/Technology:</w:t>
      </w:r>
      <w:r>
        <w:t xml:space="preserve"> </w:t>
      </w:r>
      <w:r>
        <w:t xml:space="preserve">7.04% CAGR (highest)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Retail:</w:t>
      </w:r>
      <w:r>
        <w:t xml:space="preserve"> </w:t>
      </w:r>
      <w:r>
        <w:t xml:space="preserve">44.49% increase in 2024 spending (one-year surge)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Automotive:</w:t>
      </w:r>
      <w:r>
        <w:t xml:space="preserve"> </w:t>
      </w:r>
      <w:r>
        <w:t xml:space="preserve">Fastest budget increases currently (qualitative)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FMCG:</w:t>
      </w:r>
      <w:r>
        <w:t xml:space="preserve"> </w:t>
      </w:r>
      <w:r>
        <w:t xml:space="preserve">61.8% platform revenue uplift (JCDecaux H1 2024)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key-growth-drivers"/>
    <w:p>
      <w:pPr>
        <w:pStyle w:val="Heading3"/>
      </w:pPr>
      <w:r>
        <w:t xml:space="preserve">Key Growth Drivers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Urbanization</w:t>
      </w:r>
    </w:p>
    <w:p>
      <w:pPr>
        <w:pStyle w:val="Compact"/>
        <w:numPr>
          <w:ilvl w:val="1"/>
          <w:numId w:val="1010"/>
        </w:numPr>
      </w:pPr>
      <w:r>
        <w:t xml:space="preserve">Rapid metro expansion in HCMC and Hanoi</w:t>
      </w:r>
    </w:p>
    <w:p>
      <w:pPr>
        <w:pStyle w:val="Compact"/>
        <w:numPr>
          <w:ilvl w:val="1"/>
          <w:numId w:val="1010"/>
        </w:numPr>
      </w:pPr>
      <w:r>
        <w:t xml:space="preserve">New inventory creation in transit environments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Smart City Infrastructure</w:t>
      </w:r>
    </w:p>
    <w:p>
      <w:pPr>
        <w:pStyle w:val="Compact"/>
        <w:numPr>
          <w:ilvl w:val="1"/>
          <w:numId w:val="1011"/>
        </w:numPr>
      </w:pPr>
      <w:r>
        <w:t xml:space="preserve">Municipal buildings mandating digital signage</w:t>
      </w:r>
    </w:p>
    <w:p>
      <w:pPr>
        <w:pStyle w:val="Compact"/>
        <w:numPr>
          <w:ilvl w:val="1"/>
          <w:numId w:val="1011"/>
        </w:numPr>
      </w:pPr>
      <w:r>
        <w:t xml:space="preserve">Government-driven digital transformation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Programmatic Adoption</w:t>
      </w:r>
    </w:p>
    <w:p>
      <w:pPr>
        <w:pStyle w:val="Compact"/>
        <w:numPr>
          <w:ilvl w:val="1"/>
          <w:numId w:val="1012"/>
        </w:numPr>
      </w:pPr>
      <w:r>
        <w:t xml:space="preserve">Platforms: ANTS, VIOOH/JCDecaux, Moving Walls</w:t>
      </w:r>
    </w:p>
    <w:p>
      <w:pPr>
        <w:pStyle w:val="Compact"/>
        <w:numPr>
          <w:ilvl w:val="1"/>
          <w:numId w:val="1012"/>
        </w:numPr>
      </w:pPr>
      <w:r>
        <w:t xml:space="preserve">Enabling efficiency and optimization</w:t>
      </w:r>
    </w:p>
    <w:p>
      <w:pPr>
        <w:pStyle w:val="Compact"/>
        <w:numPr>
          <w:ilvl w:val="1"/>
          <w:numId w:val="1012"/>
        </w:numPr>
      </w:pPr>
      <w:r>
        <w:t xml:space="preserve">Real-time buying capabilities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5G Rollout</w:t>
      </w:r>
    </w:p>
    <w:p>
      <w:pPr>
        <w:pStyle w:val="Compact"/>
        <w:numPr>
          <w:ilvl w:val="1"/>
          <w:numId w:val="1013"/>
        </w:numPr>
      </w:pPr>
      <w:r>
        <w:t xml:space="preserve">Telecom competition fueling ad spend</w:t>
      </w:r>
    </w:p>
    <w:p>
      <w:pPr>
        <w:pStyle w:val="Compact"/>
        <w:numPr>
          <w:ilvl w:val="1"/>
          <w:numId w:val="1013"/>
        </w:numPr>
      </w:pPr>
      <w:r>
        <w:t xml:space="preserve">Enhanced interactive capabilities</w:t>
      </w:r>
    </w:p>
    <w:p>
      <w:pPr>
        <w:pStyle w:val="Compact"/>
        <w:numPr>
          <w:ilvl w:val="1"/>
          <w:numId w:val="1013"/>
        </w:numPr>
      </w:pPr>
      <w:r>
        <w:t xml:space="preserve">Mobile-to-DOOH integration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E-commerce Pressure</w:t>
      </w:r>
    </w:p>
    <w:p>
      <w:pPr>
        <w:pStyle w:val="Compact"/>
        <w:numPr>
          <w:ilvl w:val="1"/>
          <w:numId w:val="1014"/>
        </w:numPr>
      </w:pPr>
      <w:r>
        <w:t xml:space="preserve">Retailers fighting back with physical store traffic drivers</w:t>
      </w:r>
    </w:p>
    <w:p>
      <w:pPr>
        <w:pStyle w:val="Compact"/>
        <w:numPr>
          <w:ilvl w:val="1"/>
          <w:numId w:val="1014"/>
        </w:numPr>
      </w:pPr>
      <w:r>
        <w:t xml:space="preserve">Omnichannel strategies requiring DOOH component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Measurement Improvement</w:t>
      </w:r>
    </w:p>
    <w:p>
      <w:pPr>
        <w:pStyle w:val="Compact"/>
        <w:numPr>
          <w:ilvl w:val="1"/>
          <w:numId w:val="1015"/>
        </w:numPr>
      </w:pPr>
      <w:r>
        <w:t xml:space="preserve">Data-rich screens enabling attribution</w:t>
      </w:r>
    </w:p>
    <w:p>
      <w:pPr>
        <w:pStyle w:val="Compact"/>
        <w:numPr>
          <w:ilvl w:val="1"/>
          <w:numId w:val="1015"/>
        </w:numPr>
      </w:pPr>
      <w:r>
        <w:t xml:space="preserve">Programmatic platforms providing analytics</w:t>
      </w:r>
    </w:p>
    <w:p>
      <w:pPr>
        <w:pStyle w:val="Compact"/>
        <w:numPr>
          <w:ilvl w:val="1"/>
          <w:numId w:val="1015"/>
        </w:numPr>
      </w:pPr>
      <w:r>
        <w:t xml:space="preserve">ROI demonstration improving</w:t>
      </w:r>
    </w:p>
    <w:p>
      <w:r>
        <w:pict>
          <v:rect style="width:0;height:1.5pt" o:hralign="center" o:hrstd="t" o:hr="t"/>
        </w:pict>
      </w:r>
    </w:p>
    <w:bookmarkEnd w:id="52"/>
    <w:bookmarkStart w:id="55" w:name="Xd8c94230aec895c1de2324efd9e881f6a3792c9"/>
    <w:p>
      <w:pPr>
        <w:pStyle w:val="Heading3"/>
      </w:pPr>
      <w:r>
        <w:t xml:space="preserve">Comparison with Other Advertising Channels</w:t>
      </w:r>
    </w:p>
    <w:bookmarkStart w:id="53" w:name="X6a7d6d114bc27c3bb646aa6bd7d6debae2893ec"/>
    <w:p>
      <w:pPr>
        <w:pStyle w:val="Heading4"/>
      </w:pPr>
      <w:r>
        <w:t xml:space="preserve">Vietnam Total Advertising Market (2025): USD $2.93 billion</w:t>
      </w:r>
    </w:p>
    <w:p>
      <w:pPr>
        <w:pStyle w:val="FirstParagraph"/>
      </w:pPr>
      <w:r>
        <w:rPr>
          <w:b/>
          <w:bCs/>
        </w:rPr>
        <w:t xml:space="preserve">Channel Breakdown (Digital advertising):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FMCG Digital Share:</w:t>
      </w:r>
      <w:r>
        <w:t xml:space="preserve"> </w:t>
      </w:r>
      <w:r>
        <w:t xml:space="preserve">33.71%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Technology &amp; Electronics Digital:</w:t>
      </w:r>
      <w:r>
        <w:t xml:space="preserve"> </w:t>
      </w:r>
      <w:r>
        <w:t xml:space="preserve">1.93% (lowest)</w:t>
      </w:r>
    </w:p>
    <w:p>
      <w:pPr>
        <w:pStyle w:val="BodyText"/>
      </w:pPr>
      <w:r>
        <w:rPr>
          <w:b/>
          <w:bCs/>
        </w:rPr>
        <w:t xml:space="preserve">DOOH Positioning:</w:t>
      </w:r>
      <w:r>
        <w:t xml:space="preserve"> </w:t>
      </w:r>
      <w:r>
        <w:t xml:space="preserve">- Growing faster than traditional static OOH (12.54% vs. lower static growth)</w:t>
      </w:r>
      <w:r>
        <w:t xml:space="preserve"> </w:t>
      </w:r>
      <w:r>
        <w:t xml:space="preserve">- Benefiting from digital shift while maintaining OOH’s unavoidable format advantage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Integration trend:</w:t>
      </w:r>
      <w:r>
        <w:t xml:space="preserve"> </w:t>
      </w:r>
      <w:r>
        <w:t xml:space="preserve">Brands increasingly using DOOH to amplify digital/social channels</w:t>
      </w:r>
    </w:p>
    <w:p>
      <w:r>
        <w:pict>
          <v:rect style="width:0;height:1.5pt" o:hralign="center" o:hrstd="t" o:hr="t"/>
        </w:pict>
      </w:r>
    </w:p>
    <w:bookmarkEnd w:id="53"/>
    <w:bookmarkStart w:id="54" w:name="Xdc012b26049b57a23ce21ac5a9234933ceca57e"/>
    <w:p>
      <w:pPr>
        <w:pStyle w:val="Heading4"/>
      </w:pPr>
      <w:r>
        <w:t xml:space="preserve">Unique DOOH Advantages Driving Investment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Cannot be blocked</w:t>
      </w:r>
      <w:r>
        <w:t xml:space="preserve"> </w:t>
      </w:r>
      <w:r>
        <w:t xml:space="preserve">(vs. digital ad blockers)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Contextual relevance</w:t>
      </w:r>
      <w:r>
        <w:t xml:space="preserve"> </w:t>
      </w:r>
      <w:r>
        <w:t xml:space="preserve">(reaches audiences during commute/shopping)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Premium attention</w:t>
      </w:r>
      <w:r>
        <w:t xml:space="preserve"> </w:t>
      </w:r>
      <w:r>
        <w:t xml:space="preserve">in urban environments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Programmatic capabilities</w:t>
      </w:r>
      <w:r>
        <w:t xml:space="preserve"> </w:t>
      </w:r>
      <w:r>
        <w:t xml:space="preserve">bridging digital and physical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Brand safety</w:t>
      </w:r>
      <w:r>
        <w:t xml:space="preserve"> </w:t>
      </w:r>
      <w:r>
        <w:t xml:space="preserve">in controlled environments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Large format impact</w:t>
      </w:r>
      <w:r>
        <w:t xml:space="preserve"> </w:t>
      </w:r>
      <w:r>
        <w:t xml:space="preserve">impossible in other channels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72" w:name="geographic-spending-preferences"/>
    <w:p>
      <w:pPr>
        <w:pStyle w:val="Heading2"/>
      </w:pPr>
      <w:r>
        <w:t xml:space="preserve">6. GEOGRAPHIC SPENDING PREFERENCES</w:t>
      </w:r>
    </w:p>
    <w:bookmarkStart w:id="60" w:name="city-hierarchy-investment-levels"/>
    <w:p>
      <w:pPr>
        <w:pStyle w:val="Heading3"/>
      </w:pPr>
      <w:r>
        <w:t xml:space="preserve">City Hierarchy &amp; Investment Levels</w:t>
      </w:r>
    </w:p>
    <w:bookmarkStart w:id="57" w:name="tier-1a-ho-chi-minh-city-hcmc"/>
    <w:p>
      <w:pPr>
        <w:pStyle w:val="Heading4"/>
      </w:pPr>
      <w:r>
        <w:t xml:space="preserve">Tier 1A: Ho Chi Minh City (HCMC)</w:t>
      </w:r>
    </w:p>
    <w:p>
      <w:pPr>
        <w:pStyle w:val="FirstParagraph"/>
      </w:pPr>
      <w:r>
        <w:rPr>
          <w:b/>
          <w:bCs/>
        </w:rPr>
        <w:t xml:space="preserve">Market Leadership:</w:t>
      </w:r>
      <w:r>
        <w:t xml:space="preserve"> </w:t>
      </w:r>
      <w:r>
        <w:t xml:space="preserve">- Generates</w:t>
      </w:r>
      <w:r>
        <w:t xml:space="preserve"> </w:t>
      </w:r>
      <w:r>
        <w:t xml:space="preserve">“lion’s share”</w:t>
      </w:r>
      <w:r>
        <w:t xml:space="preserve"> </w:t>
      </w:r>
      <w:r>
        <w:t xml:space="preserve">of DOOH spending</w:t>
      </w:r>
      <w:r>
        <w:t xml:space="preserve"> </w:t>
      </w:r>
      <w:r>
        <w:t xml:space="preserve">- Population: 9.4 million (largest ad market)</w:t>
      </w:r>
      <w:r>
        <w:t xml:space="preserve"> </w:t>
      </w:r>
      <w:r>
        <w:t xml:space="preserve">- HCMC and Hanoi combined:</w:t>
      </w:r>
      <w:r>
        <w:t xml:space="preserve"> </w:t>
      </w:r>
      <w:r>
        <w:t xml:space="preserve">“disproportionately large share”</w:t>
      </w:r>
      <w:r>
        <w:t xml:space="preserve"> </w:t>
      </w:r>
      <w:r>
        <w:t xml:space="preserve">of total revenue</w:t>
      </w:r>
    </w:p>
    <w:p>
      <w:pPr>
        <w:pStyle w:val="BodyText"/>
      </w:pPr>
      <w:r>
        <w:rPr>
          <w:b/>
          <w:bCs/>
        </w:rPr>
        <w:t xml:space="preserve">Infrastructure Advantage:</w:t>
      </w:r>
      <w:r>
        <w:t xml:space="preserve"> </w:t>
      </w:r>
      <w:r>
        <w:t xml:space="preserve">- Metro project seeding</w:t>
      </w:r>
      <w:r>
        <w:t xml:space="preserve"> </w:t>
      </w:r>
      <w:r>
        <w:t xml:space="preserve">“hundreds of interior screens”</w:t>
      </w:r>
      <w:r>
        <w:t xml:space="preserve"> </w:t>
      </w:r>
      <w:r>
        <w:t xml:space="preserve">- Rapid LED concessions creating premium supply</w:t>
      </w:r>
      <w:r>
        <w:t xml:space="preserve"> </w:t>
      </w:r>
      <w:r>
        <w:t xml:space="preserve">- Fresh inventory attracting advertiser investment</w:t>
      </w:r>
    </w:p>
    <w:p>
      <w:pPr>
        <w:pStyle w:val="BodyText"/>
      </w:pPr>
      <w:r>
        <w:rPr>
          <w:b/>
          <w:bCs/>
        </w:rPr>
        <w:t xml:space="preserve">Advertiser Behavior:</w:t>
      </w:r>
      <w:r>
        <w:t xml:space="preserve"> </w:t>
      </w:r>
      <w:r>
        <w:t xml:space="preserve">- Gravitating toward data-rich digital screens</w:t>
      </w:r>
      <w:r>
        <w:t xml:space="preserve"> </w:t>
      </w:r>
      <w:r>
        <w:t xml:space="preserve">- Premium CPMs acceptable for quality inventory</w:t>
      </w:r>
      <w:r>
        <w:t xml:space="preserve"> </w:t>
      </w:r>
      <w:r>
        <w:t xml:space="preserve">- High concentration of 91 top-100 companies</w:t>
      </w:r>
    </w:p>
    <w:p>
      <w:r>
        <w:pict>
          <v:rect style="width:0;height:1.5pt" o:hralign="center" o:hrstd="t" o:hr="t"/>
        </w:pict>
      </w:r>
    </w:p>
    <w:bookmarkEnd w:id="57"/>
    <w:bookmarkStart w:id="58" w:name="tier-1b-hanoi"/>
    <w:p>
      <w:pPr>
        <w:pStyle w:val="Heading4"/>
      </w:pPr>
      <w:r>
        <w:t xml:space="preserve">Tier 1B: Hanoi</w:t>
      </w:r>
    </w:p>
    <w:p>
      <w:pPr>
        <w:pStyle w:val="FirstParagraph"/>
      </w:pPr>
      <w:r>
        <w:rPr>
          <w:b/>
          <w:bCs/>
        </w:rPr>
        <w:t xml:space="preserve">Market Position:</w:t>
      </w:r>
      <w:r>
        <w:t xml:space="preserve"> </w:t>
      </w:r>
      <w:r>
        <w:t xml:space="preserve">- Second largest market</w:t>
      </w:r>
      <w:r>
        <w:t xml:space="preserve"> </w:t>
      </w:r>
      <w:r>
        <w:t xml:space="preserve">- Smart-city plan mandating digital signage in municipal buildings</w:t>
      </w:r>
    </w:p>
    <w:p>
      <w:pPr>
        <w:pStyle w:val="BodyText"/>
      </w:pPr>
      <w:r>
        <w:rPr>
          <w:b/>
          <w:bCs/>
        </w:rPr>
        <w:t xml:space="preserve">Digital Consumer Behavior:</w:t>
      </w:r>
      <w:r>
        <w:t xml:space="preserve"> </w:t>
      </w:r>
      <w:r>
        <w:t xml:space="preserve">- Residents spend MORE time online:</w:t>
      </w:r>
      <w:r>
        <w:t xml:space="preserve"> </w:t>
      </w:r>
      <w:r>
        <w:rPr>
          <w:b/>
          <w:bCs/>
        </w:rPr>
        <w:t xml:space="preserve">3.1 hours/day</w:t>
      </w:r>
      <w:r>
        <w:t xml:space="preserve"> </w:t>
      </w:r>
      <w:r>
        <w:t xml:space="preserve">- vs. HCMC: 2.6 hours/day</w:t>
      </w:r>
      <w:r>
        <w:t xml:space="preserve"> </w:t>
      </w:r>
      <w:r>
        <w:t xml:space="preserve">- Slightly more digital format lean</w:t>
      </w:r>
    </w:p>
    <w:p>
      <w:pPr>
        <w:pStyle w:val="BodyText"/>
      </w:pPr>
      <w:r>
        <w:rPr>
          <w:b/>
          <w:bCs/>
        </w:rPr>
        <w:t xml:space="preserve">Advertiser Strategy:</w:t>
      </w:r>
      <w:r>
        <w:t xml:space="preserve"> </w:t>
      </w:r>
      <w:r>
        <w:t xml:space="preserve">- Data-rich digital screens seeing strong demand</w:t>
      </w:r>
      <w:r>
        <w:t xml:space="preserve"> </w:t>
      </w:r>
      <w:r>
        <w:t xml:space="preserve">- Tech/fintech brands over-indexing</w:t>
      </w:r>
      <w:r>
        <w:t xml:space="preserve"> </w:t>
      </w:r>
      <w:r>
        <w:t xml:space="preserve">- Government building digital signage creating new inventory</w:t>
      </w:r>
    </w:p>
    <w:p>
      <w:r>
        <w:pict>
          <v:rect style="width:0;height:1.5pt" o:hralign="center" o:hrstd="t" o:hr="t"/>
        </w:pict>
      </w:r>
    </w:p>
    <w:bookmarkEnd w:id="58"/>
    <w:bookmarkStart w:id="59" w:name="tier-2-da-nang-secondary-cities"/>
    <w:p>
      <w:pPr>
        <w:pStyle w:val="Heading4"/>
      </w:pPr>
      <w:r>
        <w:t xml:space="preserve">Tier 2: Da Nang &amp; Secondary Cities</w:t>
      </w:r>
    </w:p>
    <w:p>
      <w:pPr>
        <w:pStyle w:val="FirstParagraph"/>
      </w:pPr>
      <w:r>
        <w:rPr>
          <w:b/>
          <w:bCs/>
        </w:rPr>
        <w:t xml:space="preserve">Market Characteristics:</w:t>
      </w:r>
      <w:r>
        <w:t xml:space="preserve"> </w:t>
      </w:r>
      <w:r>
        <w:t xml:space="preserve">- Static formats</w:t>
      </w:r>
      <w:r>
        <w:t xml:space="preserve"> </w:t>
      </w:r>
      <w:r>
        <w:t xml:space="preserve">“retain resilience”</w:t>
      </w:r>
      <w:r>
        <w:t xml:space="preserve"> </w:t>
      </w:r>
      <w:r>
        <w:t xml:space="preserve">(less digital penetration)</w:t>
      </w:r>
      <w:r>
        <w:t xml:space="preserve"> </w:t>
      </w:r>
      <w:r>
        <w:t xml:space="preserve">- Urbanization driving</w:t>
      </w:r>
      <w:r>
        <w:t xml:space="preserve"> </w:t>
      </w:r>
      <w:r>
        <w:rPr>
          <w:b/>
          <w:bCs/>
        </w:rPr>
        <w:t xml:space="preserve">6.29% CAGR</w:t>
      </w:r>
      <w:r>
        <w:t xml:space="preserve"> </w:t>
      </w:r>
      <w:r>
        <w:t xml:space="preserve">for overall market</w:t>
      </w:r>
      <w:r>
        <w:t xml:space="preserve"> </w:t>
      </w:r>
      <w:r>
        <w:t xml:space="preserve">- Lower CPMs enabling volume plays</w:t>
      </w:r>
    </w:p>
    <w:p>
      <w:pPr>
        <w:pStyle w:val="BodyText"/>
      </w:pPr>
      <w:r>
        <w:rPr>
          <w:b/>
          <w:bCs/>
        </w:rPr>
        <w:t xml:space="preserve">Advertiser Strategy:</w:t>
      </w:r>
      <w:r>
        <w:t xml:space="preserve"> </w:t>
      </w:r>
      <w:r>
        <w:t xml:space="preserve">- Broader reach campaigns</w:t>
      </w:r>
      <w:r>
        <w:t xml:space="preserve"> </w:t>
      </w:r>
      <w:r>
        <w:t xml:space="preserve">- Value-tier pricing</w:t>
      </w:r>
      <w:r>
        <w:t xml:space="preserve"> </w:t>
      </w:r>
      <w:r>
        <w:t xml:space="preserve">- Emerging neighborhoods for growth brands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6" w:name="format-preferences-by-location"/>
    <w:p>
      <w:pPr>
        <w:pStyle w:val="Heading3"/>
      </w:pPr>
      <w:r>
        <w:t xml:space="preserve">Format Preferences by Location</w:t>
      </w:r>
    </w:p>
    <w:bookmarkStart w:id="61" w:name="hcmc-hanoi---digital-formats"/>
    <w:p>
      <w:pPr>
        <w:pStyle w:val="Heading4"/>
      </w:pPr>
      <w:r>
        <w:t xml:space="preserve">HCMC &amp; Hanoi - Digital Formats</w:t>
      </w:r>
    </w:p>
    <w:p>
      <w:pPr>
        <w:pStyle w:val="Compact"/>
        <w:numPr>
          <w:ilvl w:val="0"/>
          <w:numId w:val="1017"/>
        </w:numPr>
      </w:pPr>
      <w:r>
        <w:t xml:space="preserve">Programmatic-enabled screens (premium pricing)</w:t>
      </w:r>
    </w:p>
    <w:p>
      <w:pPr>
        <w:pStyle w:val="Compact"/>
        <w:numPr>
          <w:ilvl w:val="0"/>
          <w:numId w:val="1017"/>
        </w:numPr>
      </w:pPr>
      <w:r>
        <w:t xml:space="preserve">Metro/transit interior screens (captive audiences)</w:t>
      </w:r>
    </w:p>
    <w:p>
      <w:pPr>
        <w:pStyle w:val="Compact"/>
        <w:numPr>
          <w:ilvl w:val="0"/>
          <w:numId w:val="1017"/>
        </w:numPr>
      </w:pPr>
      <w:r>
        <w:t xml:space="preserve">Mall screens near point-of-sale</w:t>
      </w:r>
    </w:p>
    <w:p>
      <w:pPr>
        <w:pStyle w:val="Compact"/>
        <w:numPr>
          <w:ilvl w:val="0"/>
          <w:numId w:val="1017"/>
        </w:numPr>
      </w:pPr>
      <w:r>
        <w:t xml:space="preserve">Smart city municipal building displays</w:t>
      </w:r>
    </w:p>
    <w:p>
      <w:pPr>
        <w:pStyle w:val="Compact"/>
        <w:numPr>
          <w:ilvl w:val="0"/>
          <w:numId w:val="1017"/>
        </w:numPr>
      </w:pPr>
      <w:r>
        <w:t xml:space="preserve">Airport LED walls (Chicilon Media expansion)</w:t>
      </w:r>
    </w:p>
    <w:bookmarkEnd w:id="61"/>
    <w:bookmarkStart w:id="62" w:name="highway-corridors-inter-city"/>
    <w:p>
      <w:pPr>
        <w:pStyle w:val="Heading4"/>
      </w:pPr>
      <w:r>
        <w:t xml:space="preserve">Highway Corridors (Inter-city)</w:t>
      </w:r>
    </w:p>
    <w:p>
      <w:pPr>
        <w:pStyle w:val="Compact"/>
        <w:numPr>
          <w:ilvl w:val="0"/>
          <w:numId w:val="1018"/>
        </w:numPr>
      </w:pPr>
      <w:r>
        <w:t xml:space="preserve">Megaboards (automotive preference)</w:t>
      </w:r>
    </w:p>
    <w:p>
      <w:pPr>
        <w:pStyle w:val="Compact"/>
        <w:numPr>
          <w:ilvl w:val="0"/>
          <w:numId w:val="1018"/>
        </w:numPr>
      </w:pPr>
      <w:r>
        <w:t xml:space="preserve">Static billboards (FMCG launches)</w:t>
      </w:r>
    </w:p>
    <w:p>
      <w:pPr>
        <w:pStyle w:val="Compact"/>
        <w:numPr>
          <w:ilvl w:val="0"/>
          <w:numId w:val="1018"/>
        </w:numPr>
      </w:pPr>
      <w:r>
        <w:t xml:space="preserve">Large-format brand-building inventory</w:t>
      </w:r>
    </w:p>
    <w:p>
      <w:pPr>
        <w:pStyle w:val="Compact"/>
        <w:numPr>
          <w:ilvl w:val="0"/>
          <w:numId w:val="1018"/>
        </w:numPr>
      </w:pPr>
      <w:r>
        <w:t xml:space="preserve">Commuter targeting</w:t>
      </w:r>
    </w:p>
    <w:bookmarkEnd w:id="62"/>
    <w:bookmarkStart w:id="63" w:name="mallretail-environments"/>
    <w:p>
      <w:pPr>
        <w:pStyle w:val="Heading4"/>
      </w:pPr>
      <w:r>
        <w:t xml:space="preserve">Mall/Retail Environments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Growth:</w:t>
      </w:r>
      <w:r>
        <w:t xml:space="preserve"> </w:t>
      </w:r>
      <w:r>
        <w:t xml:space="preserve">7.70% CAGR</w:t>
      </w:r>
    </w:p>
    <w:p>
      <w:pPr>
        <w:pStyle w:val="Compact"/>
        <w:numPr>
          <w:ilvl w:val="0"/>
          <w:numId w:val="1019"/>
        </w:numPr>
      </w:pPr>
      <w:r>
        <w:t xml:space="preserve">Interior mall screens near POS</w:t>
      </w:r>
    </w:p>
    <w:p>
      <w:pPr>
        <w:pStyle w:val="Compact"/>
        <w:numPr>
          <w:ilvl w:val="0"/>
          <w:numId w:val="1019"/>
        </w:numPr>
      </w:pPr>
      <w:r>
        <w:t xml:space="preserve">Semi-outdoor retail displays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Key Operators:</w:t>
      </w:r>
      <w:r>
        <w:t xml:space="preserve"> </w:t>
      </w:r>
      <w:r>
        <w:t xml:space="preserve">AEON, Big C, domestic chains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Projected Market:</w:t>
      </w:r>
      <w:r>
        <w:t xml:space="preserve"> </w:t>
      </w:r>
      <w:r>
        <w:t xml:space="preserve">USD $15.4M by 2030</w:t>
      </w:r>
    </w:p>
    <w:bookmarkEnd w:id="63"/>
    <w:bookmarkStart w:id="64" w:name="elevatorbuilding-interiors"/>
    <w:p>
      <w:pPr>
        <w:pStyle w:val="Heading4"/>
      </w:pPr>
      <w:r>
        <w:t xml:space="preserve">Elevator/Building Interiors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Chicilon Media dominance:</w:t>
      </w:r>
      <w:r>
        <w:t xml:space="preserve"> </w:t>
      </w:r>
      <w:r>
        <w:t xml:space="preserve">93% market share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40,000+ screens</w:t>
      </w:r>
      <w:r>
        <w:t xml:space="preserve"> </w:t>
      </w:r>
      <w:r>
        <w:t xml:space="preserve">in nearly 4,000 buildings nationwide</w:t>
      </w:r>
    </w:p>
    <w:p>
      <w:pPr>
        <w:pStyle w:val="Compact"/>
        <w:numPr>
          <w:ilvl w:val="0"/>
          <w:numId w:val="1020"/>
        </w:numPr>
      </w:pPr>
      <w:r>
        <w:t xml:space="preserve">Geographic spread: nationwide, concentrated in commercial buildings</w:t>
      </w:r>
    </w:p>
    <w:p>
      <w:pPr>
        <w:pStyle w:val="Compact"/>
        <w:numPr>
          <w:ilvl w:val="0"/>
          <w:numId w:val="1020"/>
        </w:numPr>
      </w:pPr>
      <w:r>
        <w:t xml:space="preserve">Elite audience: 91 of top 100 companies’ employees/visitors</w:t>
      </w:r>
    </w:p>
    <w:bookmarkEnd w:id="64"/>
    <w:bookmarkStart w:id="65" w:name="transit-environments"/>
    <w:p>
      <w:pPr>
        <w:pStyle w:val="Heading4"/>
      </w:pPr>
      <w:r>
        <w:t xml:space="preserve">Transit Environments</w:t>
      </w:r>
    </w:p>
    <w:p>
      <w:pPr>
        <w:pStyle w:val="Compact"/>
        <w:numPr>
          <w:ilvl w:val="0"/>
          <w:numId w:val="1021"/>
        </w:numPr>
      </w:pPr>
      <w:r>
        <w:t xml:space="preserve">Metro stations (HCMC expansion creating new inventory)</w:t>
      </w:r>
    </w:p>
    <w:p>
      <w:pPr>
        <w:pStyle w:val="Compact"/>
        <w:numPr>
          <w:ilvl w:val="0"/>
          <w:numId w:val="1021"/>
        </w:numPr>
      </w:pPr>
      <w:r>
        <w:t xml:space="preserve">Airport advertising (VTC Digital partnership with Chicilon)</w:t>
      </w:r>
    </w:p>
    <w:p>
      <w:pPr>
        <w:pStyle w:val="Compact"/>
        <w:numPr>
          <w:ilvl w:val="0"/>
          <w:numId w:val="1021"/>
        </w:numPr>
      </w:pPr>
      <w:r>
        <w:t xml:space="preserve">Bus shelters (JCDecaux traditional strength)</w:t>
      </w:r>
    </w:p>
    <w:p>
      <w:pPr>
        <w:pStyle w:val="Compact"/>
        <w:numPr>
          <w:ilvl w:val="0"/>
          <w:numId w:val="1021"/>
        </w:numPr>
      </w:pPr>
      <w:r>
        <w:t xml:space="preserve">Railway stations (Vie BOARD focus)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hcmc-vs.-hanoi---comparative-analysis"/>
    <w:p>
      <w:pPr>
        <w:pStyle w:val="Heading3"/>
      </w:pPr>
      <w:r>
        <w:t xml:space="preserve">HCMC vs. Hanoi - Comparative Analysis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40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HCMC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Hanoi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Spending Volume</w:t>
            </w:r>
          </w:p>
        </w:tc>
        <w:tc>
          <w:tcPr/>
          <w:p>
            <w:pPr>
              <w:pStyle w:val="Compact"/>
            </w:pPr>
            <w:r>
              <w:t xml:space="preserve">Higher (larger population, more infrastructure)</w:t>
            </w:r>
          </w:p>
        </w:tc>
        <w:tc>
          <w:tcPr/>
          <w:p>
            <w:pPr>
              <w:pStyle w:val="Compact"/>
            </w:pPr>
            <w:r>
              <w:t xml:space="preserve">Second largest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 Preference</w:t>
            </w:r>
          </w:p>
        </w:tc>
        <w:tc>
          <w:tcPr/>
          <w:p>
            <w:pPr>
              <w:pStyle w:val="Compact"/>
            </w:pPr>
            <w:r>
              <w:t xml:space="preserve">Slight traditional media lean</w:t>
            </w:r>
          </w:p>
        </w:tc>
        <w:tc>
          <w:tcPr/>
          <w:p>
            <w:pPr>
              <w:pStyle w:val="Compact"/>
            </w:pPr>
            <w:r>
              <w:t xml:space="preserve">Slight digital format lean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Consumer Online Time</w:t>
            </w:r>
          </w:p>
        </w:tc>
        <w:tc>
          <w:tcPr/>
          <w:p>
            <w:pPr>
              <w:pStyle w:val="Compact"/>
            </w:pPr>
            <w:r>
              <w:t xml:space="preserve">2.6 hours/day</w:t>
            </w:r>
          </w:p>
        </w:tc>
        <w:tc>
          <w:tcPr/>
          <w:p>
            <w:pPr>
              <w:pStyle w:val="Compact"/>
            </w:pPr>
            <w:r>
              <w:t xml:space="preserve">3.1 hours/day (more digital)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Inventory Type</w:t>
            </w:r>
          </w:p>
        </w:tc>
        <w:tc>
          <w:tcPr/>
          <w:p>
            <w:pPr>
              <w:pStyle w:val="Compact"/>
            </w:pPr>
            <w:r>
              <w:t xml:space="preserve">Metro interior screens surge</w:t>
            </w:r>
          </w:p>
        </w:tc>
        <w:tc>
          <w:tcPr/>
          <w:p>
            <w:pPr>
              <w:pStyle w:val="Compact"/>
            </w:pPr>
            <w:r>
              <w:t xml:space="preserve">Smart city municipal displays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Advertiser Focus</w:t>
            </w:r>
          </w:p>
        </w:tc>
        <w:tc>
          <w:tcPr/>
          <w:p>
            <w:pPr>
              <w:pStyle w:val="Compact"/>
            </w:pPr>
            <w:r>
              <w:t xml:space="preserve">Retail, FMCG, automotive dominance</w:t>
            </w:r>
          </w:p>
        </w:tc>
        <w:tc>
          <w:tcPr/>
          <w:p>
            <w:pPr>
              <w:pStyle w:val="Compact"/>
            </w:pPr>
            <w:r>
              <w:t xml:space="preserve">Tech, fintech, programmatic adopters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Growth Drivers</w:t>
            </w:r>
          </w:p>
        </w:tc>
        <w:tc>
          <w:tcPr/>
          <w:p>
            <w:pPr>
              <w:pStyle w:val="Compact"/>
            </w:pPr>
            <w:r>
              <w:t xml:space="preserve">Metro expansion, LED concessions</w:t>
            </w:r>
          </w:p>
        </w:tc>
        <w:tc>
          <w:tcPr/>
          <w:p>
            <w:pPr>
              <w:pStyle w:val="Compact"/>
            </w:pPr>
            <w:r>
              <w:t xml:space="preserve">Smart city mandates, govt buildings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71" w:name="inventory-pricing-dynamics"/>
    <w:p>
      <w:pPr>
        <w:pStyle w:val="Heading3"/>
      </w:pPr>
      <w:r>
        <w:t xml:space="preserve">Inventory Pricing Dynamics</w:t>
      </w:r>
    </w:p>
    <w:bookmarkStart w:id="68" w:name="premium-tier-highest-cpms"/>
    <w:p>
      <w:pPr>
        <w:pStyle w:val="Heading4"/>
      </w:pPr>
      <w:r>
        <w:t xml:space="preserve">Premium Tier (Highest CPMs)</w:t>
      </w:r>
    </w:p>
    <w:p>
      <w:pPr>
        <w:pStyle w:val="Compact"/>
        <w:numPr>
          <w:ilvl w:val="0"/>
          <w:numId w:val="1022"/>
        </w:numPr>
      </w:pPr>
      <w:r>
        <w:t xml:space="preserve">HCMC prime locations (District 1, Phu My Hung)</w:t>
      </w:r>
    </w:p>
    <w:p>
      <w:pPr>
        <w:pStyle w:val="Compact"/>
        <w:numPr>
          <w:ilvl w:val="0"/>
          <w:numId w:val="1022"/>
        </w:numPr>
      </w:pPr>
      <w:r>
        <w:t xml:space="preserve">Hanoi central districts (Ba Dinh, Hoan Kiem)</w:t>
      </w:r>
    </w:p>
    <w:p>
      <w:pPr>
        <w:pStyle w:val="Compact"/>
        <w:numPr>
          <w:ilvl w:val="0"/>
          <w:numId w:val="1022"/>
        </w:numPr>
      </w:pPr>
      <w:r>
        <w:t xml:space="preserve">Airport environments</w:t>
      </w:r>
    </w:p>
    <w:p>
      <w:pPr>
        <w:pStyle w:val="Compact"/>
        <w:numPr>
          <w:ilvl w:val="0"/>
          <w:numId w:val="1022"/>
        </w:numPr>
      </w:pPr>
      <w:r>
        <w:t xml:space="preserve">Premium mall interiors (AEON, Vincom)</w:t>
      </w:r>
    </w:p>
    <w:bookmarkEnd w:id="68"/>
    <w:bookmarkStart w:id="69" w:name="mid-tier"/>
    <w:p>
      <w:pPr>
        <w:pStyle w:val="Heading4"/>
      </w:pPr>
      <w:r>
        <w:t xml:space="preserve">Mid-Tier</w:t>
      </w:r>
    </w:p>
    <w:p>
      <w:pPr>
        <w:pStyle w:val="Compact"/>
        <w:numPr>
          <w:ilvl w:val="0"/>
          <w:numId w:val="1023"/>
        </w:numPr>
      </w:pPr>
      <w:r>
        <w:t xml:space="preserve">Secondary HCMC/Hanoi districts</w:t>
      </w:r>
    </w:p>
    <w:p>
      <w:pPr>
        <w:pStyle w:val="Compact"/>
        <w:numPr>
          <w:ilvl w:val="0"/>
          <w:numId w:val="1023"/>
        </w:numPr>
      </w:pPr>
      <w:r>
        <w:t xml:space="preserve">Highway corridors</w:t>
      </w:r>
    </w:p>
    <w:p>
      <w:pPr>
        <w:pStyle w:val="Compact"/>
        <w:numPr>
          <w:ilvl w:val="0"/>
          <w:numId w:val="1023"/>
        </w:numPr>
      </w:pPr>
      <w:r>
        <w:t xml:space="preserve">Standard mall environments</w:t>
      </w:r>
    </w:p>
    <w:p>
      <w:pPr>
        <w:pStyle w:val="Compact"/>
        <w:numPr>
          <w:ilvl w:val="0"/>
          <w:numId w:val="1023"/>
        </w:numPr>
      </w:pPr>
      <w:r>
        <w:t xml:space="preserve">Building elevator networks</w:t>
      </w:r>
    </w:p>
    <w:bookmarkEnd w:id="69"/>
    <w:bookmarkStart w:id="70" w:name="value-tier"/>
    <w:p>
      <w:pPr>
        <w:pStyle w:val="Heading4"/>
      </w:pPr>
      <w:r>
        <w:t xml:space="preserve">Value Tier</w:t>
      </w:r>
    </w:p>
    <w:p>
      <w:pPr>
        <w:pStyle w:val="Compact"/>
        <w:numPr>
          <w:ilvl w:val="0"/>
          <w:numId w:val="1024"/>
        </w:numPr>
      </w:pPr>
      <w:r>
        <w:t xml:space="preserve">Secondary cities (Da Nang, Can Tho)</w:t>
      </w:r>
    </w:p>
    <w:p>
      <w:pPr>
        <w:pStyle w:val="Compact"/>
        <w:numPr>
          <w:ilvl w:val="0"/>
          <w:numId w:val="1024"/>
        </w:numPr>
      </w:pPr>
      <w:r>
        <w:t xml:space="preserve">Suburban locations</w:t>
      </w:r>
    </w:p>
    <w:p>
      <w:pPr>
        <w:pStyle w:val="Compact"/>
        <w:numPr>
          <w:ilvl w:val="0"/>
          <w:numId w:val="1024"/>
        </w:numPr>
      </w:pPr>
      <w:r>
        <w:t xml:space="preserve">Static formats</w:t>
      </w:r>
    </w:p>
    <w:p>
      <w:pPr>
        <w:pStyle w:val="Compact"/>
        <w:numPr>
          <w:ilvl w:val="0"/>
          <w:numId w:val="1024"/>
        </w:numPr>
      </w:pPr>
      <w:r>
        <w:t xml:space="preserve">Emerging neighborhoods</w:t>
      </w:r>
    </w:p>
    <w:p>
      <w:r>
        <w:pict>
          <v:rect style="width:0;height:1.5pt" o:hralign="center" o:hrstd="t" o:hr="t"/>
        </w:pict>
      </w:r>
    </w:p>
    <w:bookmarkEnd w:id="70"/>
    <w:bookmarkEnd w:id="71"/>
    <w:bookmarkEnd w:id="72"/>
    <w:bookmarkStart w:id="84" w:name="budget-allocation-insights"/>
    <w:p>
      <w:pPr>
        <w:pStyle w:val="Heading2"/>
      </w:pPr>
      <w:r>
        <w:t xml:space="preserve">7. BUDGET ALLOCATION INSIGHTS</w:t>
      </w:r>
    </w:p>
    <w:bookmarkStart w:id="77" w:name="by-industry-segment"/>
    <w:p>
      <w:pPr>
        <w:pStyle w:val="Heading3"/>
      </w:pPr>
      <w:r>
        <w:t xml:space="preserve">By Industry Segment</w:t>
      </w:r>
    </w:p>
    <w:bookmarkStart w:id="73" w:name="X6f2fc4b0c85fcd7e96e84f287a75599fa067216"/>
    <w:p>
      <w:pPr>
        <w:pStyle w:val="Heading4"/>
      </w:pPr>
      <w:r>
        <w:t xml:space="preserve">Retail &amp; Consumer Goods: ~USD $47-58M annually</w:t>
      </w:r>
    </w:p>
    <w:p>
      <w:pPr>
        <w:pStyle w:val="Compact"/>
        <w:numPr>
          <w:ilvl w:val="0"/>
          <w:numId w:val="1025"/>
        </w:numPr>
      </w:pPr>
      <w:r>
        <w:t xml:space="preserve">44.49% of total market</w:t>
      </w:r>
    </w:p>
    <w:p>
      <w:pPr>
        <w:pStyle w:val="Compact"/>
        <w:numPr>
          <w:ilvl w:val="0"/>
          <w:numId w:val="1025"/>
        </w:numPr>
      </w:pPr>
      <w:r>
        <w:t xml:space="preserve">Year-round continuous presence</w:t>
      </w:r>
    </w:p>
    <w:p>
      <w:pPr>
        <w:pStyle w:val="Compact"/>
        <w:numPr>
          <w:ilvl w:val="0"/>
          <w:numId w:val="1025"/>
        </w:numPr>
      </w:pPr>
      <w:r>
        <w:t xml:space="preserve">Volume buying power enabling negotiated rates</w:t>
      </w:r>
    </w:p>
    <w:p>
      <w:pPr>
        <w:pStyle w:val="Compact"/>
        <w:numPr>
          <w:ilvl w:val="0"/>
          <w:numId w:val="1025"/>
        </w:numPr>
      </w:pPr>
      <w:r>
        <w:t xml:space="preserve">Focus: HCMC/Hanoi mall and roadside inventory</w:t>
      </w:r>
    </w:p>
    <w:bookmarkEnd w:id="73"/>
    <w:bookmarkStart w:id="74" w:name="fmcg-usd-35-44m-annually"/>
    <w:p>
      <w:pPr>
        <w:pStyle w:val="Heading4"/>
      </w:pPr>
      <w:r>
        <w:t xml:space="preserve">FMCG: ~USD $35-44M annually</w:t>
      </w:r>
    </w:p>
    <w:p>
      <w:pPr>
        <w:pStyle w:val="Compact"/>
        <w:numPr>
          <w:ilvl w:val="0"/>
          <w:numId w:val="1026"/>
        </w:numPr>
      </w:pPr>
      <w:r>
        <w:t xml:space="preserve">33.71% of digital advertising (applies to DOOH subset)</w:t>
      </w:r>
    </w:p>
    <w:p>
      <w:pPr>
        <w:pStyle w:val="Compact"/>
        <w:numPr>
          <w:ilvl w:val="0"/>
          <w:numId w:val="1026"/>
        </w:numPr>
      </w:pPr>
      <w:r>
        <w:t xml:space="preserve">Programmatic buying heavy</w:t>
      </w:r>
    </w:p>
    <w:p>
      <w:pPr>
        <w:pStyle w:val="Compact"/>
        <w:numPr>
          <w:ilvl w:val="0"/>
          <w:numId w:val="1026"/>
        </w:numPr>
      </w:pPr>
      <w:r>
        <w:t xml:space="preserve">Seasonal peaks (Tet, summer beverages)</w:t>
      </w:r>
    </w:p>
    <w:p>
      <w:pPr>
        <w:pStyle w:val="Compact"/>
        <w:numPr>
          <w:ilvl w:val="0"/>
          <w:numId w:val="1026"/>
        </w:numPr>
      </w:pPr>
      <w:r>
        <w:t xml:space="preserve">Multi-format deployment</w:t>
      </w:r>
    </w:p>
    <w:bookmarkEnd w:id="74"/>
    <w:bookmarkStart w:id="75" w:name="automotive-significant-but-variable"/>
    <w:p>
      <w:pPr>
        <w:pStyle w:val="Heading4"/>
      </w:pPr>
      <w:r>
        <w:t xml:space="preserve">Automotive: Significant but variable</w:t>
      </w:r>
    </w:p>
    <w:p>
      <w:pPr>
        <w:pStyle w:val="Compact"/>
        <w:numPr>
          <w:ilvl w:val="0"/>
          <w:numId w:val="1027"/>
        </w:numPr>
      </w:pPr>
      <w:r>
        <w:t xml:space="preserve">Fastest budget increases currently</w:t>
      </w:r>
    </w:p>
    <w:p>
      <w:pPr>
        <w:pStyle w:val="Compact"/>
        <w:numPr>
          <w:ilvl w:val="0"/>
          <w:numId w:val="1027"/>
        </w:numPr>
      </w:pPr>
      <w:r>
        <w:t xml:space="preserve">Launch-dependent spikes</w:t>
      </w:r>
    </w:p>
    <w:p>
      <w:pPr>
        <w:pStyle w:val="Compact"/>
        <w:numPr>
          <w:ilvl w:val="0"/>
          <w:numId w:val="1027"/>
        </w:numPr>
      </w:pPr>
      <w:r>
        <w:t xml:space="preserve">Large-format premium inventory</w:t>
      </w:r>
    </w:p>
    <w:p>
      <w:pPr>
        <w:pStyle w:val="Compact"/>
        <w:numPr>
          <w:ilvl w:val="0"/>
          <w:numId w:val="1027"/>
        </w:numPr>
      </w:pPr>
      <w:r>
        <w:t xml:space="preserve">Highway corridor focus</w:t>
      </w:r>
    </w:p>
    <w:bookmarkEnd w:id="75"/>
    <w:bookmarkStart w:id="76" w:name="telecom-growing-rapidly"/>
    <w:p>
      <w:pPr>
        <w:pStyle w:val="Heading4"/>
      </w:pPr>
      <w:r>
        <w:t xml:space="preserve">Telecom: Growing rapidly</w:t>
      </w:r>
    </w:p>
    <w:p>
      <w:pPr>
        <w:pStyle w:val="Compact"/>
        <w:numPr>
          <w:ilvl w:val="0"/>
          <w:numId w:val="1028"/>
        </w:numPr>
      </w:pPr>
      <w:r>
        <w:t xml:space="preserve">Currently lower absolute spend</w:t>
      </w:r>
    </w:p>
    <w:p>
      <w:pPr>
        <w:pStyle w:val="Compact"/>
        <w:numPr>
          <w:ilvl w:val="0"/>
          <w:numId w:val="1028"/>
        </w:numPr>
      </w:pPr>
      <w:r>
        <w:t xml:space="preserve">7.04% CAGR (highest growth)</w:t>
      </w:r>
    </w:p>
    <w:p>
      <w:pPr>
        <w:pStyle w:val="Compact"/>
        <w:numPr>
          <w:ilvl w:val="0"/>
          <w:numId w:val="1028"/>
        </w:numPr>
      </w:pPr>
      <w:r>
        <w:t xml:space="preserve">5G launch investment surges</w:t>
      </w:r>
    </w:p>
    <w:p>
      <w:pPr>
        <w:pStyle w:val="Compact"/>
        <w:numPr>
          <w:ilvl w:val="0"/>
          <w:numId w:val="1028"/>
        </w:numPr>
      </w:pPr>
      <w:r>
        <w:t xml:space="preserve">Urban metro/transit focus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by-format"/>
    <w:p>
      <w:pPr>
        <w:pStyle w:val="Heading3"/>
      </w:pPr>
      <w:r>
        <w:t xml:space="preserve">By Format</w:t>
      </w:r>
    </w:p>
    <w:bookmarkStart w:id="78" w:name="static-ooh-usd-97m-2025"/>
    <w:p>
      <w:pPr>
        <w:pStyle w:val="Heading4"/>
      </w:pPr>
      <w:r>
        <w:t xml:space="preserve">Static OOH: ~USD $97M (2025)</w:t>
      </w:r>
    </w:p>
    <w:p>
      <w:pPr>
        <w:pStyle w:val="Compact"/>
        <w:numPr>
          <w:ilvl w:val="0"/>
          <w:numId w:val="1029"/>
        </w:numPr>
      </w:pPr>
      <w:r>
        <w:t xml:space="preserve">75.24% of market</w:t>
      </w:r>
    </w:p>
    <w:p>
      <w:pPr>
        <w:pStyle w:val="Compact"/>
        <w:numPr>
          <w:ilvl w:val="0"/>
          <w:numId w:val="1029"/>
        </w:numPr>
      </w:pPr>
      <w:r>
        <w:t xml:space="preserve">Slower growth but sustained base</w:t>
      </w:r>
    </w:p>
    <w:p>
      <w:pPr>
        <w:pStyle w:val="Compact"/>
        <w:numPr>
          <w:ilvl w:val="0"/>
          <w:numId w:val="1029"/>
        </w:numPr>
      </w:pPr>
      <w:r>
        <w:t xml:space="preserve">Highway and suburban focus</w:t>
      </w:r>
    </w:p>
    <w:p>
      <w:pPr>
        <w:pStyle w:val="Compact"/>
        <w:numPr>
          <w:ilvl w:val="0"/>
          <w:numId w:val="1029"/>
        </w:numPr>
      </w:pPr>
      <w:r>
        <w:t xml:space="preserve">Launch campaigns and brand building</w:t>
      </w:r>
    </w:p>
    <w:bookmarkEnd w:id="78"/>
    <w:bookmarkStart w:id="79" w:name="digital-dooh-usd-32-107m-2025"/>
    <w:p>
      <w:pPr>
        <w:pStyle w:val="Heading4"/>
      </w:pPr>
      <w:r>
        <w:t xml:space="preserve">Digital DOOH: ~USD $32-107M (2025)</w:t>
      </w:r>
    </w:p>
    <w:p>
      <w:pPr>
        <w:pStyle w:val="Compact"/>
        <w:numPr>
          <w:ilvl w:val="0"/>
          <w:numId w:val="1030"/>
        </w:numPr>
      </w:pPr>
      <w:r>
        <w:t xml:space="preserve">24.76% of market (growing rapidly)</w:t>
      </w:r>
    </w:p>
    <w:p>
      <w:pPr>
        <w:pStyle w:val="Compact"/>
        <w:numPr>
          <w:ilvl w:val="0"/>
          <w:numId w:val="1030"/>
        </w:numPr>
      </w:pPr>
      <w:r>
        <w:t xml:space="preserve">12.54% CAGR through 2030</w:t>
      </w:r>
    </w:p>
    <w:p>
      <w:pPr>
        <w:pStyle w:val="Compact"/>
        <w:numPr>
          <w:ilvl w:val="0"/>
          <w:numId w:val="1030"/>
        </w:numPr>
      </w:pPr>
      <w:r>
        <w:t xml:space="preserve">Urban concentration</w:t>
      </w:r>
    </w:p>
    <w:p>
      <w:pPr>
        <w:pStyle w:val="Compact"/>
        <w:numPr>
          <w:ilvl w:val="0"/>
          <w:numId w:val="1030"/>
        </w:numPr>
      </w:pPr>
      <w:r>
        <w:t xml:space="preserve">Programmatic adoption driving growth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by-geography"/>
    <w:p>
      <w:pPr>
        <w:pStyle w:val="Heading3"/>
      </w:pPr>
      <w:r>
        <w:t xml:space="preserve">By Geography</w:t>
      </w:r>
    </w:p>
    <w:bookmarkStart w:id="81" w:name="hcmc-hanoi-60-70-of-total-spend"/>
    <w:p>
      <w:pPr>
        <w:pStyle w:val="Heading4"/>
      </w:pPr>
      <w:r>
        <w:t xml:space="preserve">HCMC + Hanoi: ~60-70% of total spend</w:t>
      </w:r>
    </w:p>
    <w:p>
      <w:pPr>
        <w:pStyle w:val="Compact"/>
        <w:numPr>
          <w:ilvl w:val="0"/>
          <w:numId w:val="1031"/>
        </w:numPr>
      </w:pPr>
      <w:r>
        <w:t xml:space="preserve">“Disproportionately large share”</w:t>
      </w:r>
    </w:p>
    <w:p>
      <w:pPr>
        <w:pStyle w:val="Compact"/>
        <w:numPr>
          <w:ilvl w:val="0"/>
          <w:numId w:val="1031"/>
        </w:numPr>
      </w:pPr>
      <w:r>
        <w:t xml:space="preserve">Premium inventory commands premium pricing</w:t>
      </w:r>
    </w:p>
    <w:p>
      <w:pPr>
        <w:pStyle w:val="Compact"/>
        <w:numPr>
          <w:ilvl w:val="0"/>
          <w:numId w:val="1031"/>
        </w:numPr>
      </w:pPr>
      <w:r>
        <w:t xml:space="preserve">Highest digital penetration</w:t>
      </w:r>
    </w:p>
    <w:p>
      <w:pPr>
        <w:pStyle w:val="Compact"/>
        <w:numPr>
          <w:ilvl w:val="0"/>
          <w:numId w:val="1031"/>
        </w:numPr>
      </w:pPr>
      <w:r>
        <w:t xml:space="preserve">Elite brand concentration</w:t>
      </w:r>
    </w:p>
    <w:bookmarkEnd w:id="81"/>
    <w:bookmarkStart w:id="82" w:name="secondary-cities-30-40-of-total-spend"/>
    <w:p>
      <w:pPr>
        <w:pStyle w:val="Heading4"/>
      </w:pPr>
      <w:r>
        <w:t xml:space="preserve">Secondary Cities: ~30-40% of total spend</w:t>
      </w:r>
    </w:p>
    <w:p>
      <w:pPr>
        <w:pStyle w:val="Compact"/>
        <w:numPr>
          <w:ilvl w:val="0"/>
          <w:numId w:val="1032"/>
        </w:numPr>
      </w:pPr>
      <w:r>
        <w:t xml:space="preserve">Lower CPMs enabling volume</w:t>
      </w:r>
    </w:p>
    <w:p>
      <w:pPr>
        <w:pStyle w:val="Compact"/>
        <w:numPr>
          <w:ilvl w:val="0"/>
          <w:numId w:val="1032"/>
        </w:numPr>
      </w:pPr>
      <w:r>
        <w:t xml:space="preserve">Static format dominance</w:t>
      </w:r>
    </w:p>
    <w:p>
      <w:pPr>
        <w:pStyle w:val="Compact"/>
        <w:numPr>
          <w:ilvl w:val="0"/>
          <w:numId w:val="1032"/>
        </w:numPr>
      </w:pPr>
      <w:r>
        <w:t xml:space="preserve">Regional brand campaigns</w:t>
      </w:r>
    </w:p>
    <w:p>
      <w:pPr>
        <w:pStyle w:val="Compact"/>
        <w:numPr>
          <w:ilvl w:val="0"/>
          <w:numId w:val="1032"/>
        </w:numPr>
      </w:pPr>
      <w:r>
        <w:t xml:space="preserve">Growth opportunity as urbanization continues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bookmarkStart w:id="88" w:name="actionable-intelligence"/>
    <w:p>
      <w:pPr>
        <w:pStyle w:val="Heading2"/>
      </w:pPr>
      <w:r>
        <w:t xml:space="preserve">8. ACTIONABLE INTELLIGENCE</w:t>
      </w:r>
    </w:p>
    <w:bookmarkStart w:id="85" w:name="for-media-sellers"/>
    <w:p>
      <w:pPr>
        <w:pStyle w:val="Heading3"/>
      </w:pPr>
      <w:r>
        <w:t xml:space="preserve">For Media Sellers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Retail Sales Strategy</w:t>
      </w:r>
    </w:p>
    <w:p>
      <w:pPr>
        <w:pStyle w:val="Compact"/>
        <w:numPr>
          <w:ilvl w:val="1"/>
          <w:numId w:val="1034"/>
        </w:numPr>
      </w:pPr>
      <w:r>
        <w:t xml:space="preserve">44.49% share demands dedicated retail sales teams</w:t>
      </w:r>
    </w:p>
    <w:p>
      <w:pPr>
        <w:pStyle w:val="Compact"/>
        <w:numPr>
          <w:ilvl w:val="1"/>
          <w:numId w:val="1034"/>
        </w:numPr>
      </w:pPr>
      <w:r>
        <w:t xml:space="preserve">Offer POS attribution capabilities</w:t>
      </w:r>
    </w:p>
    <w:p>
      <w:pPr>
        <w:pStyle w:val="Compact"/>
        <w:numPr>
          <w:ilvl w:val="1"/>
          <w:numId w:val="1034"/>
        </w:numPr>
      </w:pPr>
      <w:r>
        <w:t xml:space="preserve">Bundle mall + roadside inventory</w:t>
      </w:r>
    </w:p>
    <w:p>
      <w:pPr>
        <w:pStyle w:val="Compact"/>
        <w:numPr>
          <w:ilvl w:val="1"/>
          <w:numId w:val="1034"/>
        </w:numPr>
      </w:pPr>
      <w:r>
        <w:t xml:space="preserve">Volume discount structuring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Programmatic Imperative</w:t>
      </w:r>
    </w:p>
    <w:p>
      <w:pPr>
        <w:pStyle w:val="Compact"/>
        <w:numPr>
          <w:ilvl w:val="1"/>
          <w:numId w:val="1035"/>
        </w:numPr>
      </w:pPr>
      <w:r>
        <w:t xml:space="preserve">JCDecaux’s 61.8% revenue uplift via VIOOH proves ROI</w:t>
      </w:r>
    </w:p>
    <w:p>
      <w:pPr>
        <w:pStyle w:val="Compact"/>
        <w:numPr>
          <w:ilvl w:val="1"/>
          <w:numId w:val="1035"/>
        </w:numPr>
      </w:pPr>
      <w:r>
        <w:t xml:space="preserve">Programmatic buyers expect SSP access</w:t>
      </w:r>
    </w:p>
    <w:p>
      <w:pPr>
        <w:pStyle w:val="Compact"/>
        <w:numPr>
          <w:ilvl w:val="1"/>
          <w:numId w:val="1035"/>
        </w:numPr>
      </w:pPr>
      <w:r>
        <w:t xml:space="preserve">ANTS, Moving Walls, VIOOH connectivity critical</w:t>
      </w:r>
    </w:p>
    <w:p>
      <w:pPr>
        <w:pStyle w:val="Compact"/>
        <w:numPr>
          <w:ilvl w:val="1"/>
          <w:numId w:val="1035"/>
        </w:numPr>
      </w:pPr>
      <w:r>
        <w:t xml:space="preserve">Real-time optimization capabilities required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Geographic Focus</w:t>
      </w:r>
    </w:p>
    <w:p>
      <w:pPr>
        <w:pStyle w:val="Compact"/>
        <w:numPr>
          <w:ilvl w:val="1"/>
          <w:numId w:val="1036"/>
        </w:numPr>
      </w:pPr>
      <w:r>
        <w:t xml:space="preserve">HCMC + Hanoi = majority of revenue</w:t>
      </w:r>
    </w:p>
    <w:p>
      <w:pPr>
        <w:pStyle w:val="Compact"/>
        <w:numPr>
          <w:ilvl w:val="1"/>
          <w:numId w:val="1036"/>
        </w:numPr>
      </w:pPr>
      <w:r>
        <w:t xml:space="preserve">Premium pricing justified in Tier 1 cities</w:t>
      </w:r>
    </w:p>
    <w:p>
      <w:pPr>
        <w:pStyle w:val="Compact"/>
        <w:numPr>
          <w:ilvl w:val="1"/>
          <w:numId w:val="1036"/>
        </w:numPr>
      </w:pPr>
      <w:r>
        <w:t xml:space="preserve">Secondary cities = volume play with lower CPMs</w:t>
      </w:r>
    </w:p>
    <w:p>
      <w:pPr>
        <w:pStyle w:val="Compact"/>
        <w:numPr>
          <w:ilvl w:val="1"/>
          <w:numId w:val="1036"/>
        </w:numPr>
      </w:pPr>
      <w:r>
        <w:t xml:space="preserve">Metro/transit new inventory = premium opportunity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Format Transition Strategy</w:t>
      </w:r>
    </w:p>
    <w:p>
      <w:pPr>
        <w:pStyle w:val="Compact"/>
        <w:numPr>
          <w:ilvl w:val="1"/>
          <w:numId w:val="1037"/>
        </w:numPr>
      </w:pPr>
      <w:r>
        <w:t xml:space="preserve">75.24% still static (2024) but digital growing 2x faster</w:t>
      </w:r>
    </w:p>
    <w:p>
      <w:pPr>
        <w:pStyle w:val="Compact"/>
        <w:numPr>
          <w:ilvl w:val="1"/>
          <w:numId w:val="1037"/>
        </w:numPr>
      </w:pPr>
      <w:r>
        <w:t xml:space="preserve">Don’t abandon static too quickly</w:t>
      </w:r>
    </w:p>
    <w:p>
      <w:pPr>
        <w:pStyle w:val="Compact"/>
        <w:numPr>
          <w:ilvl w:val="1"/>
          <w:numId w:val="1037"/>
        </w:numPr>
      </w:pPr>
      <w:r>
        <w:t xml:space="preserve">Invest in digital conversion gradually</w:t>
      </w:r>
    </w:p>
    <w:p>
      <w:pPr>
        <w:pStyle w:val="Compact"/>
        <w:numPr>
          <w:ilvl w:val="1"/>
          <w:numId w:val="1037"/>
        </w:numPr>
      </w:pPr>
      <w:r>
        <w:t xml:space="preserve">Programmatic-enabled screens command premium</w:t>
      </w:r>
    </w:p>
    <w:p>
      <w:r>
        <w:pict>
          <v:rect style="width:0;height:1.5pt" o:hralign="center" o:hrstd="t" o:hr="t"/>
        </w:pict>
      </w:r>
    </w:p>
    <w:bookmarkEnd w:id="85"/>
    <w:bookmarkStart w:id="86" w:name="for-media-buyers"/>
    <w:p>
      <w:pPr>
        <w:pStyle w:val="Heading3"/>
      </w:pPr>
      <w:r>
        <w:t xml:space="preserve">For Media Buyers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Category Leverage</w:t>
      </w:r>
    </w:p>
    <w:p>
      <w:pPr>
        <w:pStyle w:val="Compact"/>
        <w:numPr>
          <w:ilvl w:val="1"/>
          <w:numId w:val="1039"/>
        </w:numPr>
      </w:pPr>
      <w:r>
        <w:t xml:space="preserve">Retail/FMCG as 44.49% + 33.71% of market</w:t>
      </w:r>
    </w:p>
    <w:p>
      <w:pPr>
        <w:pStyle w:val="Compact"/>
        <w:numPr>
          <w:ilvl w:val="1"/>
          <w:numId w:val="1039"/>
        </w:numPr>
      </w:pPr>
      <w:r>
        <w:t xml:space="preserve">Volume discounts negotiable</w:t>
      </w:r>
    </w:p>
    <w:p>
      <w:pPr>
        <w:pStyle w:val="Compact"/>
        <w:numPr>
          <w:ilvl w:val="1"/>
          <w:numId w:val="1039"/>
        </w:numPr>
      </w:pPr>
      <w:r>
        <w:t xml:space="preserve">Multi-format bundle opportunities</w:t>
      </w:r>
    </w:p>
    <w:p>
      <w:pPr>
        <w:pStyle w:val="Compact"/>
        <w:numPr>
          <w:ilvl w:val="1"/>
          <w:numId w:val="1039"/>
        </w:numPr>
      </w:pPr>
      <w:r>
        <w:t xml:space="preserve">Year-round commitment = better rates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Programmatic Access Required</w:t>
      </w:r>
    </w:p>
    <w:p>
      <w:pPr>
        <w:pStyle w:val="Compact"/>
        <w:numPr>
          <w:ilvl w:val="1"/>
          <w:numId w:val="1040"/>
        </w:numPr>
      </w:pPr>
      <w:r>
        <w:t xml:space="preserve">Demand ANTS, VIOOH, or Moving Walls connectivity</w:t>
      </w:r>
    </w:p>
    <w:p>
      <w:pPr>
        <w:pStyle w:val="Compact"/>
        <w:numPr>
          <w:ilvl w:val="1"/>
          <w:numId w:val="1040"/>
        </w:numPr>
      </w:pPr>
      <w:r>
        <w:t xml:space="preserve">Day-of optimization capabilities</w:t>
      </w:r>
    </w:p>
    <w:p>
      <w:pPr>
        <w:pStyle w:val="Compact"/>
        <w:numPr>
          <w:ilvl w:val="1"/>
          <w:numId w:val="1040"/>
        </w:numPr>
      </w:pPr>
      <w:r>
        <w:t xml:space="preserve">Real-time creative adaptation</w:t>
      </w:r>
    </w:p>
    <w:p>
      <w:pPr>
        <w:pStyle w:val="Compact"/>
        <w:numPr>
          <w:ilvl w:val="1"/>
          <w:numId w:val="1040"/>
        </w:numPr>
      </w:pPr>
      <w:r>
        <w:t xml:space="preserve">Audience retargeting capabilities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Seasonal Strategy Shift</w:t>
      </w:r>
    </w:p>
    <w:p>
      <w:pPr>
        <w:pStyle w:val="Compact"/>
        <w:numPr>
          <w:ilvl w:val="1"/>
          <w:numId w:val="1041"/>
        </w:numPr>
      </w:pPr>
      <w:r>
        <w:t xml:space="preserve">Tet 2024 saw 47% engagement drop</w:t>
      </w:r>
    </w:p>
    <w:p>
      <w:pPr>
        <w:pStyle w:val="Compact"/>
        <w:numPr>
          <w:ilvl w:val="1"/>
          <w:numId w:val="1041"/>
        </w:numPr>
      </w:pPr>
      <w:r>
        <w:t xml:space="preserve">Don’t over-concentrate on Tet</w:t>
      </w:r>
    </w:p>
    <w:p>
      <w:pPr>
        <w:pStyle w:val="Compact"/>
        <w:numPr>
          <w:ilvl w:val="1"/>
          <w:numId w:val="1041"/>
        </w:numPr>
      </w:pPr>
      <w:r>
        <w:t xml:space="preserve">Year-round optimization preferred</w:t>
      </w:r>
    </w:p>
    <w:p>
      <w:pPr>
        <w:pStyle w:val="Compact"/>
        <w:numPr>
          <w:ilvl w:val="1"/>
          <w:numId w:val="1041"/>
        </w:numPr>
      </w:pPr>
      <w:r>
        <w:t xml:space="preserve">Weather/event-based creative adaptation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Geographic Arbitrage</w:t>
      </w:r>
    </w:p>
    <w:p>
      <w:pPr>
        <w:pStyle w:val="Compact"/>
        <w:numPr>
          <w:ilvl w:val="1"/>
          <w:numId w:val="1042"/>
        </w:numPr>
      </w:pPr>
      <w:r>
        <w:t xml:space="preserve">Secondary cities offer lower CPMs</w:t>
      </w:r>
    </w:p>
    <w:p>
      <w:pPr>
        <w:pStyle w:val="Compact"/>
        <w:numPr>
          <w:ilvl w:val="1"/>
          <w:numId w:val="1042"/>
        </w:numPr>
      </w:pPr>
      <w:r>
        <w:t xml:space="preserve">HCMC/Hanoi offer attribution data</w:t>
      </w:r>
    </w:p>
    <w:p>
      <w:pPr>
        <w:pStyle w:val="Compact"/>
        <w:numPr>
          <w:ilvl w:val="1"/>
          <w:numId w:val="1042"/>
        </w:numPr>
      </w:pPr>
      <w:r>
        <w:t xml:space="preserve">Balance reach (secondary) vs. precision (Tier 1)</w:t>
      </w:r>
    </w:p>
    <w:p>
      <w:pPr>
        <w:pStyle w:val="Compact"/>
        <w:numPr>
          <w:ilvl w:val="1"/>
          <w:numId w:val="1042"/>
        </w:numPr>
      </w:pPr>
      <w:r>
        <w:t xml:space="preserve">Highway corridors for automotive/FMCG reach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Measurement Requirements</w:t>
      </w:r>
    </w:p>
    <w:p>
      <w:pPr>
        <w:pStyle w:val="Compact"/>
        <w:numPr>
          <w:ilvl w:val="1"/>
          <w:numId w:val="1043"/>
        </w:numPr>
      </w:pPr>
      <w:r>
        <w:t xml:space="preserve">Demand attribution data from vendors</w:t>
      </w:r>
    </w:p>
    <w:p>
      <w:pPr>
        <w:pStyle w:val="Compact"/>
        <w:numPr>
          <w:ilvl w:val="1"/>
          <w:numId w:val="1043"/>
        </w:numPr>
      </w:pPr>
      <w:r>
        <w:t xml:space="preserve">QR code integration for direct response</w:t>
      </w:r>
    </w:p>
    <w:p>
      <w:pPr>
        <w:pStyle w:val="Compact"/>
        <w:numPr>
          <w:ilvl w:val="1"/>
          <w:numId w:val="1043"/>
        </w:numPr>
      </w:pPr>
      <w:r>
        <w:t xml:space="preserve">Store visit attribution capabilities</w:t>
      </w:r>
    </w:p>
    <w:p>
      <w:pPr>
        <w:pStyle w:val="Compact"/>
        <w:numPr>
          <w:ilvl w:val="1"/>
          <w:numId w:val="1043"/>
        </w:numPr>
      </w:pPr>
      <w:r>
        <w:t xml:space="preserve">Mobile retargeting pixel integration</w:t>
      </w:r>
    </w:p>
    <w:p>
      <w:r>
        <w:pict>
          <v:rect style="width:0;height:1.5pt" o:hralign="center" o:hrstd="t" o:hr="t"/>
        </w:pict>
      </w:r>
    </w:p>
    <w:bookmarkEnd w:id="86"/>
    <w:bookmarkStart w:id="87" w:name="for-investorsstrategists"/>
    <w:p>
      <w:pPr>
        <w:pStyle w:val="Heading3"/>
      </w:pPr>
      <w:r>
        <w:t xml:space="preserve">For Investors/Strategists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Growth Vector Priority</w:t>
      </w:r>
    </w:p>
    <w:p>
      <w:pPr>
        <w:pStyle w:val="Compact"/>
        <w:numPr>
          <w:ilvl w:val="1"/>
          <w:numId w:val="1045"/>
        </w:numPr>
      </w:pPr>
      <w:r>
        <w:t xml:space="preserve">Digital OOH at 12.54% CAGR massively outpacing static</w:t>
      </w:r>
    </w:p>
    <w:p>
      <w:pPr>
        <w:pStyle w:val="Compact"/>
        <w:numPr>
          <w:ilvl w:val="1"/>
          <w:numId w:val="1045"/>
        </w:numPr>
      </w:pPr>
      <w:r>
        <w:t xml:space="preserve">Technology/platform plays preferred over traditional inventory</w:t>
      </w:r>
    </w:p>
    <w:p>
      <w:pPr>
        <w:pStyle w:val="Compact"/>
        <w:numPr>
          <w:ilvl w:val="1"/>
          <w:numId w:val="1045"/>
        </w:numPr>
      </w:pPr>
      <w:r>
        <w:t xml:space="preserve">Programmatic SSP/DSP infrastructure opportunity</w:t>
      </w:r>
    </w:p>
    <w:p>
      <w:pPr>
        <w:pStyle w:val="Compact"/>
        <w:numPr>
          <w:ilvl w:val="1"/>
          <w:numId w:val="1045"/>
        </w:numPr>
      </w:pPr>
      <w:r>
        <w:t xml:space="preserve">Measurement/attribution tech gap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Consolidation Opportunity</w:t>
      </w:r>
    </w:p>
    <w:p>
      <w:pPr>
        <w:pStyle w:val="Compact"/>
        <w:numPr>
          <w:ilvl w:val="1"/>
          <w:numId w:val="1046"/>
        </w:numPr>
      </w:pPr>
      <w:r>
        <w:t xml:space="preserve">Fragmented market: JCDecaux, Chicilon, local players</w:t>
      </w:r>
    </w:p>
    <w:p>
      <w:pPr>
        <w:pStyle w:val="Compact"/>
        <w:numPr>
          <w:ilvl w:val="1"/>
          <w:numId w:val="1046"/>
        </w:numPr>
      </w:pPr>
      <w:r>
        <w:t xml:space="preserve">M&amp;A potential for scale building</w:t>
      </w:r>
    </w:p>
    <w:p>
      <w:pPr>
        <w:pStyle w:val="Compact"/>
        <w:numPr>
          <w:ilvl w:val="1"/>
          <w:numId w:val="1046"/>
        </w:numPr>
      </w:pPr>
      <w:r>
        <w:t xml:space="preserve">Roll-up of secondary city operators</w:t>
      </w:r>
    </w:p>
    <w:p>
      <w:pPr>
        <w:pStyle w:val="Compact"/>
        <w:numPr>
          <w:ilvl w:val="1"/>
          <w:numId w:val="1046"/>
        </w:numPr>
      </w:pPr>
      <w:r>
        <w:t xml:space="preserve">Technology platform consolidation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Telecom Surge Preparation</w:t>
      </w:r>
    </w:p>
    <w:p>
      <w:pPr>
        <w:pStyle w:val="Compact"/>
        <w:numPr>
          <w:ilvl w:val="1"/>
          <w:numId w:val="1047"/>
        </w:numPr>
      </w:pPr>
      <w:r>
        <w:t xml:space="preserve">7.04% CAGR highest among sectors</w:t>
      </w:r>
    </w:p>
    <w:p>
      <w:pPr>
        <w:pStyle w:val="Compact"/>
        <w:numPr>
          <w:ilvl w:val="1"/>
          <w:numId w:val="1047"/>
        </w:numPr>
      </w:pPr>
      <w:r>
        <w:t xml:space="preserve">5G wars = ad spending wars</w:t>
      </w:r>
    </w:p>
    <w:p>
      <w:pPr>
        <w:pStyle w:val="Compact"/>
        <w:numPr>
          <w:ilvl w:val="1"/>
          <w:numId w:val="1047"/>
        </w:numPr>
      </w:pPr>
      <w:r>
        <w:t xml:space="preserve">Metro/transit inventory strategic</w:t>
      </w:r>
    </w:p>
    <w:p>
      <w:pPr>
        <w:pStyle w:val="Compact"/>
        <w:numPr>
          <w:ilvl w:val="1"/>
          <w:numId w:val="1047"/>
        </w:numPr>
      </w:pPr>
      <w:r>
        <w:t xml:space="preserve">Interactive screen technology advantage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Measurement Gap = Opportunity</w:t>
      </w:r>
    </w:p>
    <w:p>
      <w:pPr>
        <w:pStyle w:val="Compact"/>
        <w:numPr>
          <w:ilvl w:val="1"/>
          <w:numId w:val="1048"/>
        </w:numPr>
      </w:pPr>
      <w:r>
        <w:t xml:space="preserve">Limited attribution data mentioned</w:t>
      </w:r>
    </w:p>
    <w:p>
      <w:pPr>
        <w:pStyle w:val="Compact"/>
        <w:numPr>
          <w:ilvl w:val="1"/>
          <w:numId w:val="1048"/>
        </w:numPr>
      </w:pPr>
      <w:r>
        <w:t xml:space="preserve">Measurement tech opportunity</w:t>
      </w:r>
    </w:p>
    <w:p>
      <w:pPr>
        <w:pStyle w:val="Compact"/>
        <w:numPr>
          <w:ilvl w:val="1"/>
          <w:numId w:val="1048"/>
        </w:numPr>
      </w:pPr>
      <w:r>
        <w:t xml:space="preserve">Mobile location data integration</w:t>
      </w:r>
    </w:p>
    <w:p>
      <w:pPr>
        <w:pStyle w:val="Compact"/>
        <w:numPr>
          <w:ilvl w:val="1"/>
          <w:numId w:val="1048"/>
        </w:numPr>
      </w:pPr>
      <w:r>
        <w:t xml:space="preserve">Attribution platform development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Retail Partnership Strategy</w:t>
      </w:r>
    </w:p>
    <w:p>
      <w:pPr>
        <w:pStyle w:val="Compact"/>
        <w:numPr>
          <w:ilvl w:val="1"/>
          <w:numId w:val="1049"/>
        </w:numPr>
      </w:pPr>
      <w:r>
        <w:t xml:space="preserve">44.49% market share = partnership priority</w:t>
      </w:r>
    </w:p>
    <w:p>
      <w:pPr>
        <w:pStyle w:val="Compact"/>
        <w:numPr>
          <w:ilvl w:val="1"/>
          <w:numId w:val="1049"/>
        </w:numPr>
      </w:pPr>
      <w:r>
        <w:t xml:space="preserve">Co-development of retail media networks</w:t>
      </w:r>
    </w:p>
    <w:p>
      <w:pPr>
        <w:pStyle w:val="Compact"/>
        <w:numPr>
          <w:ilvl w:val="1"/>
          <w:numId w:val="1049"/>
        </w:numPr>
      </w:pPr>
      <w:r>
        <w:t xml:space="preserve">In-store to OOH attribution</w:t>
      </w:r>
    </w:p>
    <w:p>
      <w:pPr>
        <w:pStyle w:val="Compact"/>
        <w:numPr>
          <w:ilvl w:val="1"/>
          <w:numId w:val="1049"/>
        </w:numPr>
      </w:pPr>
      <w:r>
        <w:t xml:space="preserve">E-commerce to physical attribution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1" w:name="market-challenges-opportunities"/>
    <w:p>
      <w:pPr>
        <w:pStyle w:val="Heading2"/>
      </w:pPr>
      <w:r>
        <w:t xml:space="preserve">9. MARKET CHALLENGES &amp; OPPORTUNITIES</w:t>
      </w:r>
    </w:p>
    <w:bookmarkStart w:id="89" w:name="current-challenges"/>
    <w:p>
      <w:pPr>
        <w:pStyle w:val="Heading3"/>
      </w:pPr>
      <w:r>
        <w:t xml:space="preserve">Current Challenges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Tet Effectiveness Declining</w:t>
      </w:r>
    </w:p>
    <w:p>
      <w:pPr>
        <w:pStyle w:val="Compact"/>
        <w:numPr>
          <w:ilvl w:val="1"/>
          <w:numId w:val="1051"/>
        </w:numPr>
      </w:pPr>
      <w:r>
        <w:t xml:space="preserve">47% engagement drop in 2024</w:t>
      </w:r>
    </w:p>
    <w:p>
      <w:pPr>
        <w:pStyle w:val="Compact"/>
        <w:numPr>
          <w:ilvl w:val="1"/>
          <w:numId w:val="1051"/>
        </w:numPr>
      </w:pPr>
      <w:r>
        <w:t xml:space="preserve">Traditional campaigns losing impact</w:t>
      </w:r>
    </w:p>
    <w:p>
      <w:pPr>
        <w:pStyle w:val="Compact"/>
        <w:numPr>
          <w:ilvl w:val="1"/>
          <w:numId w:val="1051"/>
        </w:numPr>
      </w:pPr>
      <w:r>
        <w:t xml:space="preserve">Requires creative innovation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Measurement Standards Gap</w:t>
      </w:r>
    </w:p>
    <w:p>
      <w:pPr>
        <w:pStyle w:val="Compact"/>
        <w:numPr>
          <w:ilvl w:val="1"/>
          <w:numId w:val="1052"/>
        </w:numPr>
      </w:pPr>
      <w:r>
        <w:t xml:space="preserve">Limited industry-standard metrics</w:t>
      </w:r>
    </w:p>
    <w:p>
      <w:pPr>
        <w:pStyle w:val="Compact"/>
        <w:numPr>
          <w:ilvl w:val="1"/>
          <w:numId w:val="1052"/>
        </w:numPr>
      </w:pPr>
      <w:r>
        <w:t xml:space="preserve">Attribution capabilities vary by vendor</w:t>
      </w:r>
    </w:p>
    <w:p>
      <w:pPr>
        <w:pStyle w:val="Compact"/>
        <w:numPr>
          <w:ilvl w:val="1"/>
          <w:numId w:val="1052"/>
        </w:numPr>
      </w:pPr>
      <w:r>
        <w:t xml:space="preserve">Cross-platform measurement lacking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Programmatic Adoption Pace</w:t>
      </w:r>
    </w:p>
    <w:p>
      <w:pPr>
        <w:pStyle w:val="Compact"/>
        <w:numPr>
          <w:ilvl w:val="1"/>
          <w:numId w:val="1053"/>
        </w:numPr>
      </w:pPr>
      <w:r>
        <w:t xml:space="preserve">Still transitioning from traditional buying</w:t>
      </w:r>
    </w:p>
    <w:p>
      <w:pPr>
        <w:pStyle w:val="Compact"/>
        <w:numPr>
          <w:ilvl w:val="1"/>
          <w:numId w:val="1053"/>
        </w:numPr>
      </w:pPr>
      <w:r>
        <w:t xml:space="preserve">Learning curve for buyers/sellers</w:t>
      </w:r>
    </w:p>
    <w:p>
      <w:pPr>
        <w:pStyle w:val="Compact"/>
        <w:numPr>
          <w:ilvl w:val="1"/>
          <w:numId w:val="1053"/>
        </w:numPr>
      </w:pPr>
      <w:r>
        <w:t xml:space="preserve">Platform fragmentation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Static to Digital Transition</w:t>
      </w:r>
    </w:p>
    <w:p>
      <w:pPr>
        <w:pStyle w:val="Compact"/>
        <w:numPr>
          <w:ilvl w:val="1"/>
          <w:numId w:val="1054"/>
        </w:numPr>
      </w:pPr>
      <w:r>
        <w:t xml:space="preserve">75% still static creates inventory risk</w:t>
      </w:r>
    </w:p>
    <w:p>
      <w:pPr>
        <w:pStyle w:val="Compact"/>
        <w:numPr>
          <w:ilvl w:val="1"/>
          <w:numId w:val="1054"/>
        </w:numPr>
      </w:pPr>
      <w:r>
        <w:t xml:space="preserve">Capital intensive to convert</w:t>
      </w:r>
    </w:p>
    <w:p>
      <w:pPr>
        <w:pStyle w:val="Compact"/>
        <w:numPr>
          <w:ilvl w:val="1"/>
          <w:numId w:val="1054"/>
        </w:numPr>
      </w:pPr>
      <w:r>
        <w:t xml:space="preserve">ROI justification required</w:t>
      </w:r>
    </w:p>
    <w:p>
      <w:r>
        <w:pict>
          <v:rect style="width:0;height:1.5pt" o:hralign="center" o:hrstd="t" o:hr="t"/>
        </w:pict>
      </w:r>
    </w:p>
    <w:bookmarkEnd w:id="89"/>
    <w:bookmarkStart w:id="90" w:name="emerging-opportunities"/>
    <w:p>
      <w:pPr>
        <w:pStyle w:val="Heading3"/>
      </w:pPr>
      <w:r>
        <w:t xml:space="preserve">Emerging Opportunities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Premium Inventory Expansion</w:t>
      </w:r>
    </w:p>
    <w:p>
      <w:pPr>
        <w:pStyle w:val="Compact"/>
        <w:numPr>
          <w:ilvl w:val="1"/>
          <w:numId w:val="1056"/>
        </w:numPr>
      </w:pPr>
      <w:r>
        <w:t xml:space="preserve">Metro expansion (HCMC/Hanoi)</w:t>
      </w:r>
    </w:p>
    <w:p>
      <w:pPr>
        <w:pStyle w:val="Compact"/>
        <w:numPr>
          <w:ilvl w:val="1"/>
          <w:numId w:val="1056"/>
        </w:numPr>
      </w:pPr>
      <w:r>
        <w:t xml:space="preserve">Airport LED walls (Chicilon expansion)</w:t>
      </w:r>
    </w:p>
    <w:p>
      <w:pPr>
        <w:pStyle w:val="Compact"/>
        <w:numPr>
          <w:ilvl w:val="1"/>
          <w:numId w:val="1056"/>
        </w:numPr>
      </w:pPr>
      <w:r>
        <w:t xml:space="preserve">Smart city municipal buildings</w:t>
      </w:r>
    </w:p>
    <w:p>
      <w:pPr>
        <w:pStyle w:val="Compact"/>
        <w:numPr>
          <w:ilvl w:val="1"/>
          <w:numId w:val="1056"/>
        </w:numPr>
      </w:pPr>
      <w:r>
        <w:t xml:space="preserve">Mall/retail interior screens (7.70% CAGR)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Technology Integration</w:t>
      </w:r>
    </w:p>
    <w:p>
      <w:pPr>
        <w:pStyle w:val="Compact"/>
        <w:numPr>
          <w:ilvl w:val="1"/>
          <w:numId w:val="1057"/>
        </w:numPr>
      </w:pPr>
      <w:r>
        <w:t xml:space="preserve">AI-powered creative optimization</w:t>
      </w:r>
    </w:p>
    <w:p>
      <w:pPr>
        <w:pStyle w:val="Compact"/>
        <w:numPr>
          <w:ilvl w:val="1"/>
          <w:numId w:val="1057"/>
        </w:numPr>
      </w:pPr>
      <w:r>
        <w:t xml:space="preserve">AR/VR experiential campaigns</w:t>
      </w:r>
    </w:p>
    <w:p>
      <w:pPr>
        <w:pStyle w:val="Compact"/>
        <w:numPr>
          <w:ilvl w:val="1"/>
          <w:numId w:val="1057"/>
        </w:numPr>
      </w:pPr>
      <w:r>
        <w:t xml:space="preserve">Mobile-to-DOOH attribution</w:t>
      </w:r>
    </w:p>
    <w:p>
      <w:pPr>
        <w:pStyle w:val="Compact"/>
        <w:numPr>
          <w:ilvl w:val="1"/>
          <w:numId w:val="1057"/>
        </w:numPr>
      </w:pPr>
      <w:r>
        <w:t xml:space="preserve">Programmatic platform development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Omnichannel Integration</w:t>
      </w:r>
    </w:p>
    <w:p>
      <w:pPr>
        <w:pStyle w:val="Compact"/>
        <w:numPr>
          <w:ilvl w:val="1"/>
          <w:numId w:val="1058"/>
        </w:numPr>
      </w:pPr>
      <w:r>
        <w:t xml:space="preserve">DOOH amplifying digital/social</w:t>
      </w:r>
    </w:p>
    <w:p>
      <w:pPr>
        <w:pStyle w:val="Compact"/>
        <w:numPr>
          <w:ilvl w:val="1"/>
          <w:numId w:val="1058"/>
        </w:numPr>
      </w:pPr>
      <w:r>
        <w:t xml:space="preserve">Retail media network integration</w:t>
      </w:r>
    </w:p>
    <w:p>
      <w:pPr>
        <w:pStyle w:val="Compact"/>
        <w:numPr>
          <w:ilvl w:val="1"/>
          <w:numId w:val="1058"/>
        </w:numPr>
      </w:pPr>
      <w:r>
        <w:t xml:space="preserve">E-commerce to physical attribution</w:t>
      </w:r>
    </w:p>
    <w:p>
      <w:pPr>
        <w:pStyle w:val="Compact"/>
        <w:numPr>
          <w:ilvl w:val="1"/>
          <w:numId w:val="1058"/>
        </w:numPr>
      </w:pPr>
      <w:r>
        <w:t xml:space="preserve">Cross-channel orchestration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Category Growth</w:t>
      </w:r>
    </w:p>
    <w:p>
      <w:pPr>
        <w:pStyle w:val="Compact"/>
        <w:numPr>
          <w:ilvl w:val="1"/>
          <w:numId w:val="1059"/>
        </w:numPr>
      </w:pPr>
      <w:r>
        <w:t xml:space="preserve">Telecom 5G wars (7.04% CAGR)</w:t>
      </w:r>
    </w:p>
    <w:p>
      <w:pPr>
        <w:pStyle w:val="Compact"/>
        <w:numPr>
          <w:ilvl w:val="1"/>
          <w:numId w:val="1059"/>
        </w:numPr>
      </w:pPr>
      <w:r>
        <w:t xml:space="preserve">Automotive EV launches</w:t>
      </w:r>
    </w:p>
    <w:p>
      <w:pPr>
        <w:pStyle w:val="Compact"/>
        <w:numPr>
          <w:ilvl w:val="1"/>
          <w:numId w:val="1059"/>
        </w:numPr>
      </w:pPr>
      <w:r>
        <w:t xml:space="preserve">Fintech expansion</w:t>
      </w:r>
    </w:p>
    <w:p>
      <w:pPr>
        <w:pStyle w:val="Compact"/>
        <w:numPr>
          <w:ilvl w:val="1"/>
          <w:numId w:val="1059"/>
        </w:numPr>
      </w:pPr>
      <w:r>
        <w:t xml:space="preserve">Healthcare awareness growth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Geographic Expansion</w:t>
      </w:r>
    </w:p>
    <w:p>
      <w:pPr>
        <w:pStyle w:val="Compact"/>
        <w:numPr>
          <w:ilvl w:val="1"/>
          <w:numId w:val="1060"/>
        </w:numPr>
      </w:pPr>
      <w:r>
        <w:t xml:space="preserve">Secondary city digital conversion</w:t>
      </w:r>
    </w:p>
    <w:p>
      <w:pPr>
        <w:pStyle w:val="Compact"/>
        <w:numPr>
          <w:ilvl w:val="1"/>
          <w:numId w:val="1060"/>
        </w:numPr>
      </w:pPr>
      <w:r>
        <w:t xml:space="preserve">Highway corridor premium development</w:t>
      </w:r>
    </w:p>
    <w:p>
      <w:pPr>
        <w:pStyle w:val="Compact"/>
        <w:numPr>
          <w:ilvl w:val="1"/>
          <w:numId w:val="1060"/>
        </w:numPr>
      </w:pPr>
      <w:r>
        <w:t xml:space="preserve">Regional brand campaigns</w:t>
      </w:r>
    </w:p>
    <w:p>
      <w:pPr>
        <w:pStyle w:val="Compact"/>
        <w:numPr>
          <w:ilvl w:val="1"/>
          <w:numId w:val="1060"/>
        </w:numPr>
      </w:pPr>
      <w:r>
        <w:t xml:space="preserve">Urbanization-driven growth (6.29% CAGR)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6" w:name="data-reliability-limitations"/>
    <w:p>
      <w:pPr>
        <w:pStyle w:val="Heading2"/>
      </w:pPr>
      <w:r>
        <w:t xml:space="preserve">10. DATA RELIABILITY &amp; LIMITATIONS</w:t>
      </w:r>
    </w:p>
    <w:bookmarkStart w:id="92" w:name="data-timeframe"/>
    <w:p>
      <w:pPr>
        <w:pStyle w:val="Heading3"/>
      </w:pPr>
      <w:r>
        <w:t xml:space="preserve">Data Timeframe</w:t>
      </w:r>
    </w:p>
    <w:p>
      <w:pPr>
        <w:pStyle w:val="FirstParagraph"/>
      </w:pPr>
      <w:r>
        <w:t xml:space="preserve">Research reflects</w:t>
      </w:r>
      <w:r>
        <w:t xml:space="preserve"> </w:t>
      </w:r>
      <w:r>
        <w:rPr>
          <w:b/>
          <w:bCs/>
        </w:rPr>
        <w:t xml:space="preserve">2024 actual data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2025 projections</w:t>
      </w:r>
      <w:r>
        <w:t xml:space="preserve"> </w:t>
      </w:r>
      <w:r>
        <w:t xml:space="preserve">based on market intelligence available through December 2024.</w:t>
      </w:r>
    </w:p>
    <w:p>
      <w:r>
        <w:pict>
          <v:rect style="width:0;height:1.5pt" o:hralign="center" o:hrstd="t" o:hr="t"/>
        </w:pict>
      </w:r>
    </w:p>
    <w:bookmarkEnd w:id="92"/>
    <w:bookmarkStart w:id="93" w:name="source-discrepancies"/>
    <w:p>
      <w:pPr>
        <w:pStyle w:val="Heading3"/>
      </w:pPr>
      <w:r>
        <w:t xml:space="preserve">Source Discrepancies</w:t>
      </w:r>
    </w:p>
    <w:p>
      <w:pPr>
        <w:pStyle w:val="FirstParagraph"/>
      </w:pPr>
      <w:r>
        <w:rPr>
          <w:b/>
          <w:bCs/>
        </w:rPr>
        <w:t xml:space="preserve">Total Vietnam DOOH market estimates vary significantly:</w:t>
      </w:r>
      <w:r>
        <w:t xml:space="preserve"> </w:t>
      </w:r>
      <w:r>
        <w:t xml:space="preserve">- Range: USD $32.6M to $500M</w:t>
      </w:r>
      <w:r>
        <w:t xml:space="preserve"> </w:t>
      </w:r>
      <w:r>
        <w:t xml:space="preserve">- Due to different methodologies:</w:t>
      </w:r>
      <w:r>
        <w:t xml:space="preserve"> </w:t>
      </w:r>
      <w:r>
        <w:t xml:space="preserve">- Digital-only vs. total OOH</w:t>
      </w:r>
      <w:r>
        <w:t xml:space="preserve"> </w:t>
      </w:r>
      <w:r>
        <w:t xml:space="preserve">- Geographic scope variations</w:t>
      </w:r>
      <w:r>
        <w:t xml:space="preserve"> </w:t>
      </w:r>
      <w:r>
        <w:t xml:space="preserve">- Static vs. digital classification</w:t>
      </w:r>
    </w:p>
    <w:p>
      <w:pPr>
        <w:pStyle w:val="BodyText"/>
      </w:pPr>
      <w:r>
        <w:rPr>
          <w:b/>
          <w:bCs/>
        </w:rPr>
        <w:t xml:space="preserve">Growth projections vary:</w:t>
      </w:r>
      <w:r>
        <w:t xml:space="preserve"> </w:t>
      </w:r>
      <w:r>
        <w:t xml:space="preserve">- Conservative: 5.74% CAGR</w:t>
      </w:r>
      <w:r>
        <w:t xml:space="preserve"> </w:t>
      </w:r>
      <w:r>
        <w:t xml:space="preserve">- Aggressive: 10.14% CAGR</w:t>
      </w:r>
      <w:r>
        <w:t xml:space="preserve"> </w:t>
      </w:r>
      <w:r>
        <w:t xml:space="preserve">- Depends on market definition</w:t>
      </w:r>
    </w:p>
    <w:p>
      <w:r>
        <w:pict>
          <v:rect style="width:0;height:1.5pt" o:hralign="center" o:hrstd="t" o:hr="t"/>
        </w:pict>
      </w:r>
    </w:p>
    <w:bookmarkEnd w:id="93"/>
    <w:bookmarkStart w:id="94" w:name="proprietary-data-gaps"/>
    <w:p>
      <w:pPr>
        <w:pStyle w:val="Heading3"/>
      </w:pPr>
      <w:r>
        <w:t xml:space="preserve">Proprietary Data Gaps</w:t>
      </w:r>
    </w:p>
    <w:p>
      <w:pPr>
        <w:pStyle w:val="FirstParagraph"/>
      </w:pPr>
      <w:r>
        <w:rPr>
          <w:b/>
          <w:bCs/>
        </w:rPr>
        <w:t xml:space="preserve">Not Publicly Available:</w:t>
      </w:r>
      <w:r>
        <w:t xml:space="preserve"> </w:t>
      </w:r>
      <w:r>
        <w:t xml:space="preserve">- Specific brand-level spending figures</w:t>
      </w:r>
      <w:r>
        <w:t xml:space="preserve"> </w:t>
      </w:r>
      <w:r>
        <w:t xml:space="preserve">- Detailed CPM/rate card pricing (requires direct supplier engagement)</w:t>
      </w:r>
      <w:r>
        <w:t xml:space="preserve"> </w:t>
      </w:r>
      <w:r>
        <w:t xml:space="preserve">- Programmatic platform market shares (ANTS, Moving Walls, VIOOH)</w:t>
      </w:r>
      <w:r>
        <w:t xml:space="preserve"> </w:t>
      </w:r>
      <w:r>
        <w:t xml:space="preserve">- Quarterly spending patterns beyond Tet (granular data)</w:t>
      </w:r>
      <w:r>
        <w:t xml:space="preserve"> </w:t>
      </w:r>
      <w:r>
        <w:t xml:space="preserve">- Campaign-level ROI metrics</w:t>
      </w:r>
      <w:r>
        <w:t xml:space="preserve"> </w:t>
      </w:r>
      <w:r>
        <w:t xml:space="preserve">- Detailed audience demographic overlays</w:t>
      </w:r>
    </w:p>
    <w:p>
      <w:r>
        <w:pict>
          <v:rect style="width:0;height:1.5pt" o:hralign="center" o:hrstd="t" o:hr="t"/>
        </w:pict>
      </w:r>
    </w:p>
    <w:bookmarkEnd w:id="94"/>
    <w:bookmarkStart w:id="95" w:name="recommended-further-research"/>
    <w:p>
      <w:pPr>
        <w:pStyle w:val="Heading3"/>
      </w:pPr>
      <w:r>
        <w:t xml:space="preserve">Recommended Further Research</w:t>
      </w:r>
    </w:p>
    <w:p>
      <w:pPr>
        <w:pStyle w:val="FirstParagraph"/>
      </w:pPr>
      <w:r>
        <w:rPr>
          <w:b/>
          <w:bCs/>
        </w:rPr>
        <w:t xml:space="preserve">Direct Industry Engagement:</w:t>
      </w:r>
      <w:r>
        <w:t xml:space="preserve"> </w:t>
      </w:r>
      <w:r>
        <w:t xml:space="preserve">- JCDecaux Vietnam (client case studies)</w:t>
      </w:r>
      <w:r>
        <w:t xml:space="preserve"> </w:t>
      </w:r>
      <w:r>
        <w:t xml:space="preserve">- Chicilon Media (client spending data)</w:t>
      </w:r>
      <w:r>
        <w:t xml:space="preserve"> </w:t>
      </w:r>
      <w:r>
        <w:t xml:space="preserve">- VCCorp (programmatic platform insights)</w:t>
      </w:r>
      <w:r>
        <w:t xml:space="preserve"> </w:t>
      </w:r>
      <w:r>
        <w:t xml:space="preserve">- DatVietVAC/Vie BOARD (transit advertising data)</w:t>
      </w:r>
    </w:p>
    <w:p>
      <w:pPr>
        <w:pStyle w:val="BodyText"/>
      </w:pPr>
      <w:r>
        <w:rPr>
          <w:b/>
          <w:bCs/>
        </w:rPr>
        <w:t xml:space="preserve">Agency Intelligence:</w:t>
      </w:r>
      <w:r>
        <w:t xml:space="preserve"> </w:t>
      </w:r>
      <w:r>
        <w:t xml:space="preserve">- GroupM Vietnam (media buying data)</w:t>
      </w:r>
      <w:r>
        <w:t xml:space="preserve"> </w:t>
      </w:r>
      <w:r>
        <w:t xml:space="preserve">- Dentsu Vietnam (client spending trends)</w:t>
      </w:r>
      <w:r>
        <w:t xml:space="preserve"> </w:t>
      </w:r>
      <w:r>
        <w:t xml:space="preserve">- Publicis Vietnam (category insights)</w:t>
      </w:r>
    </w:p>
    <w:p>
      <w:pPr>
        <w:pStyle w:val="BodyText"/>
      </w:pPr>
      <w:r>
        <w:rPr>
          <w:b/>
          <w:bCs/>
        </w:rPr>
        <w:t xml:space="preserve">Subscription Research:</w:t>
      </w:r>
      <w:r>
        <w:t xml:space="preserve"> </w:t>
      </w:r>
      <w:r>
        <w:t xml:space="preserve">- Nielsen Vietnam ad spend tracking</w:t>
      </w:r>
      <w:r>
        <w:t xml:space="preserve"> </w:t>
      </w:r>
      <w:r>
        <w:t xml:space="preserve">- Kantar Vietnam advertising intelligence</w:t>
      </w:r>
      <w:r>
        <w:t xml:space="preserve"> </w:t>
      </w:r>
      <w:r>
        <w:t xml:space="preserve">- Vietnam Advertising Association reports</w:t>
      </w:r>
      <w:r>
        <w:t xml:space="preserve"> </w:t>
      </w:r>
      <w:r>
        <w:t xml:space="preserve">- Local market research firms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18" w:name="sources"/>
    <w:p>
      <w:pPr>
        <w:pStyle w:val="Heading2"/>
      </w:pPr>
      <w:r>
        <w:t xml:space="preserve">Sources</w:t>
      </w:r>
    </w:p>
    <w:bookmarkStart w:id="104" w:name="market-research-industry-reports"/>
    <w:p>
      <w:pPr>
        <w:pStyle w:val="Heading3"/>
      </w:pPr>
      <w:r>
        <w:t xml:space="preserve">Market Research &amp; Industry Reports</w:t>
      </w:r>
    </w:p>
    <w:p>
      <w:pPr>
        <w:pStyle w:val="Compact"/>
        <w:numPr>
          <w:ilvl w:val="0"/>
          <w:numId w:val="1061"/>
        </w:numPr>
      </w:pPr>
      <w:hyperlink r:id="rId97">
        <w:r>
          <w:rPr>
            <w:rStyle w:val="Hyperlink"/>
          </w:rPr>
          <w:t xml:space="preserve">Vietnam OOH And DOOH Market Size, Share, Trends &amp; Industry Report, 2030</w:t>
        </w:r>
      </w:hyperlink>
    </w:p>
    <w:p>
      <w:pPr>
        <w:pStyle w:val="Compact"/>
        <w:numPr>
          <w:ilvl w:val="0"/>
          <w:numId w:val="1061"/>
        </w:numPr>
      </w:pPr>
      <w:hyperlink r:id="rId98">
        <w:r>
          <w:rPr>
            <w:rStyle w:val="Hyperlink"/>
          </w:rPr>
          <w:t xml:space="preserve">Out-of-Home Advertising - Vietnam | Market Forecast</w:t>
        </w:r>
      </w:hyperlink>
    </w:p>
    <w:p>
      <w:pPr>
        <w:pStyle w:val="Compact"/>
        <w:numPr>
          <w:ilvl w:val="0"/>
          <w:numId w:val="1061"/>
        </w:numPr>
      </w:pPr>
      <w:hyperlink r:id="rId99">
        <w:r>
          <w:rPr>
            <w:rStyle w:val="Hyperlink"/>
          </w:rPr>
          <w:t xml:space="preserve">Digital Out-of-Home Advertising - Vietnam | Market Forecast</w:t>
        </w:r>
      </w:hyperlink>
    </w:p>
    <w:p>
      <w:pPr>
        <w:pStyle w:val="Compact"/>
        <w:numPr>
          <w:ilvl w:val="0"/>
          <w:numId w:val="1061"/>
        </w:numPr>
      </w:pPr>
      <w:hyperlink r:id="rId100">
        <w:r>
          <w:rPr>
            <w:rStyle w:val="Hyperlink"/>
          </w:rPr>
          <w:t xml:space="preserve">Vietnam Digital OOH Advertising Market Size and Report 2033</w:t>
        </w:r>
      </w:hyperlink>
    </w:p>
    <w:p>
      <w:pPr>
        <w:pStyle w:val="Compact"/>
        <w:numPr>
          <w:ilvl w:val="0"/>
          <w:numId w:val="1061"/>
        </w:numPr>
      </w:pPr>
      <w:hyperlink r:id="rId101">
        <w:r>
          <w:rPr>
            <w:rStyle w:val="Hyperlink"/>
          </w:rPr>
          <w:t xml:space="preserve">Vietnam’s Advertising Industry 2025: Censorship, Trends, and Key Players</w:t>
        </w:r>
      </w:hyperlink>
    </w:p>
    <w:p>
      <w:pPr>
        <w:pStyle w:val="Compact"/>
        <w:numPr>
          <w:ilvl w:val="0"/>
          <w:numId w:val="1061"/>
        </w:numPr>
      </w:pPr>
      <w:hyperlink r:id="rId102">
        <w:r>
          <w:rPr>
            <w:rStyle w:val="Hyperlink"/>
          </w:rPr>
          <w:t xml:space="preserve">Vietnam Advertising Market Trends and Digital Growth 2024</w:t>
        </w:r>
      </w:hyperlink>
    </w:p>
    <w:p>
      <w:pPr>
        <w:pStyle w:val="Compact"/>
        <w:numPr>
          <w:ilvl w:val="0"/>
          <w:numId w:val="1061"/>
        </w:numPr>
      </w:pPr>
      <w:hyperlink r:id="rId103">
        <w:r>
          <w:rPr>
            <w:rStyle w:val="Hyperlink"/>
          </w:rPr>
          <w:t xml:space="preserve">Southeast Asia Advertising Market - Trends, Growth &amp; Share</w:t>
        </w:r>
      </w:hyperlink>
    </w:p>
    <w:p>
      <w:r>
        <w:pict>
          <v:rect style="width:0;height:1.5pt" o:hralign="center" o:hrstd="t" o:hr="t"/>
        </w:pict>
      </w:r>
    </w:p>
    <w:bookmarkEnd w:id="104"/>
    <w:bookmarkStart w:id="108" w:name="campaign-case-studies-industry-news"/>
    <w:p>
      <w:pPr>
        <w:pStyle w:val="Heading3"/>
      </w:pPr>
      <w:r>
        <w:t xml:space="preserve">Campaign Case Studies &amp; Industry News</w:t>
      </w:r>
    </w:p>
    <w:p>
      <w:pPr>
        <w:pStyle w:val="Compact"/>
        <w:numPr>
          <w:ilvl w:val="0"/>
          <w:numId w:val="1062"/>
        </w:numPr>
      </w:pPr>
      <w:hyperlink r:id="rId105">
        <w:r>
          <w:rPr>
            <w:rStyle w:val="Hyperlink"/>
          </w:rPr>
          <w:t xml:space="preserve">Lookback to catch DOOH trends in 2024 - Brancher.X</w:t>
        </w:r>
      </w:hyperlink>
    </w:p>
    <w:p>
      <w:pPr>
        <w:pStyle w:val="Compact"/>
        <w:numPr>
          <w:ilvl w:val="0"/>
          <w:numId w:val="1062"/>
        </w:numPr>
      </w:pPr>
      <w:hyperlink r:id="rId106">
        <w:r>
          <w:rPr>
            <w:rStyle w:val="Hyperlink"/>
          </w:rPr>
          <w:t xml:space="preserve">Calvin Klein’s DOOH Campaign Lights Up Vietnam with Moving Walls</w:t>
        </w:r>
      </w:hyperlink>
    </w:p>
    <w:p>
      <w:pPr>
        <w:pStyle w:val="Compact"/>
        <w:numPr>
          <w:ilvl w:val="0"/>
          <w:numId w:val="1062"/>
        </w:numPr>
      </w:pPr>
      <w:hyperlink r:id="rId107">
        <w:r>
          <w:rPr>
            <w:rStyle w:val="Hyperlink"/>
          </w:rPr>
          <w:t xml:space="preserve">The Future of OOH &amp; DOOH in Vietnam: Trends, Innovation, and Market Predictions for 2025</w:t>
        </w:r>
      </w:hyperlink>
    </w:p>
    <w:p>
      <w:r>
        <w:pict>
          <v:rect style="width:0;height:1.5pt" o:hralign="center" o:hrstd="t" o:hr="t"/>
        </w:pict>
      </w:r>
    </w:p>
    <w:bookmarkEnd w:id="108"/>
    <w:bookmarkStart w:id="112" w:name="company-specific-intelligence"/>
    <w:p>
      <w:pPr>
        <w:pStyle w:val="Heading3"/>
      </w:pPr>
      <w:r>
        <w:t xml:space="preserve">Company-Specific Intelligence</w:t>
      </w:r>
    </w:p>
    <w:p>
      <w:pPr>
        <w:pStyle w:val="Compact"/>
        <w:numPr>
          <w:ilvl w:val="0"/>
          <w:numId w:val="1063"/>
        </w:numPr>
      </w:pPr>
      <w:hyperlink r:id="rId109">
        <w:r>
          <w:rPr>
            <w:rStyle w:val="Hyperlink"/>
          </w:rPr>
          <w:t xml:space="preserve">Chicilon Media’s Communication Solution receives Vietnam Digital Awards 2024</w:t>
        </w:r>
      </w:hyperlink>
    </w:p>
    <w:p>
      <w:pPr>
        <w:pStyle w:val="Compact"/>
        <w:numPr>
          <w:ilvl w:val="0"/>
          <w:numId w:val="1063"/>
        </w:numPr>
      </w:pPr>
      <w:hyperlink r:id="rId110">
        <w:r>
          <w:rPr>
            <w:rStyle w:val="Hyperlink"/>
          </w:rPr>
          <w:t xml:space="preserve">91 of the top 100 companies by revenue in Vietnam have chosen Chicilon Media</w:t>
        </w:r>
      </w:hyperlink>
    </w:p>
    <w:p>
      <w:pPr>
        <w:pStyle w:val="Compact"/>
        <w:numPr>
          <w:ilvl w:val="0"/>
          <w:numId w:val="1063"/>
        </w:numPr>
      </w:pPr>
      <w:hyperlink r:id="rId111">
        <w:r>
          <w:rPr>
            <w:rStyle w:val="Hyperlink"/>
          </w:rPr>
          <w:t xml:space="preserve">91/100 largest enterprises in Vietnam choose Chicilon Media advertising channel</w:t>
        </w:r>
      </w:hyperlink>
    </w:p>
    <w:p>
      <w:r>
        <w:pict>
          <v:rect style="width:0;height:1.5pt" o:hralign="center" o:hrstd="t" o:hr="t"/>
        </w:pict>
      </w:r>
    </w:p>
    <w:bookmarkEnd w:id="112"/>
    <w:bookmarkStart w:id="115" w:name="seasonal-consumer-behavior-research"/>
    <w:p>
      <w:pPr>
        <w:pStyle w:val="Heading3"/>
      </w:pPr>
      <w:r>
        <w:t xml:space="preserve">Seasonal &amp; Consumer Behavior Research</w:t>
      </w:r>
    </w:p>
    <w:p>
      <w:pPr>
        <w:pStyle w:val="Compact"/>
        <w:numPr>
          <w:ilvl w:val="0"/>
          <w:numId w:val="1064"/>
        </w:numPr>
      </w:pPr>
      <w:hyperlink r:id="rId113">
        <w:r>
          <w:rPr>
            <w:rStyle w:val="Hyperlink"/>
          </w:rPr>
          <w:t xml:space="preserve">Innovative Marketing Strategies for Vietnam Tet 2025</w:t>
        </w:r>
      </w:hyperlink>
    </w:p>
    <w:p>
      <w:pPr>
        <w:pStyle w:val="Compact"/>
        <w:numPr>
          <w:ilvl w:val="0"/>
          <w:numId w:val="1064"/>
        </w:numPr>
      </w:pPr>
      <w:hyperlink r:id="rId114">
        <w:r>
          <w:rPr>
            <w:rStyle w:val="Hyperlink"/>
          </w:rPr>
          <w:t xml:space="preserve">TET 2024: Market Insights and Consumer Behavior</w:t>
        </w:r>
      </w:hyperlink>
    </w:p>
    <w:p>
      <w:r>
        <w:pict>
          <v:rect style="width:0;height:1.5pt" o:hralign="center" o:hrstd="t" o:hr="t"/>
        </w:pict>
      </w:r>
    </w:p>
    <w:bookmarkEnd w:id="115"/>
    <w:bookmarkStart w:id="117" w:name="brand-value-industry-analysis"/>
    <w:p>
      <w:pPr>
        <w:pStyle w:val="Heading3"/>
      </w:pPr>
      <w:r>
        <w:t xml:space="preserve">Brand Value &amp; Industry Analysis</w:t>
      </w:r>
    </w:p>
    <w:p>
      <w:pPr>
        <w:pStyle w:val="Compact"/>
        <w:numPr>
          <w:ilvl w:val="0"/>
          <w:numId w:val="1065"/>
        </w:numPr>
      </w:pPr>
      <w:hyperlink r:id="rId116">
        <w:r>
          <w:rPr>
            <w:rStyle w:val="Hyperlink"/>
          </w:rPr>
          <w:t xml:space="preserve">Robust growth in value of food and banking brands illuminate Vietnam’s cloudy 2024 forecast - Brand Finance Vietnam 100 2024</w:t>
        </w:r>
      </w:hyperlink>
    </w:p>
    <w:p>
      <w:r>
        <w:pict>
          <v:rect style="width:0;height:1.5pt" o:hralign="center" o:hrstd="t" o:hr="t"/>
        </w:pict>
      </w:r>
    </w:p>
    <w:bookmarkEnd w:id="117"/>
    <w:bookmarkEnd w:id="118"/>
    <w:bookmarkStart w:id="119" w:name="document-metadata"/>
    <w:p>
      <w:pPr>
        <w:pStyle w:val="Heading2"/>
      </w:pPr>
      <w:r>
        <w:t xml:space="preserve">Document Metadata</w:t>
      </w:r>
    </w:p>
    <w:p>
      <w:pPr>
        <w:pStyle w:val="FirstParagraph"/>
      </w:pPr>
      <w:r>
        <w:rPr>
          <w:b/>
          <w:bCs/>
        </w:rPr>
        <w:t xml:space="preserve">Compiled:</w:t>
      </w:r>
      <w:r>
        <w:t xml:space="preserve"> </w:t>
      </w:r>
      <w:r>
        <w:t xml:space="preserve">December 2, 2025</w:t>
      </w:r>
      <w:r>
        <w:t xml:space="preserve"> </w:t>
      </w:r>
      <w:r>
        <w:rPr>
          <w:b/>
          <w:bCs/>
        </w:rPr>
        <w:t xml:space="preserve">Research Partner:</w:t>
      </w:r>
      <w:r>
        <w:t xml:space="preserve"> </w:t>
      </w:r>
      <w:r>
        <w:t xml:space="preserve">Vietnam DOOH Research Expert Agent</w:t>
      </w:r>
      <w:r>
        <w:t xml:space="preserve"> </w:t>
      </w:r>
      <w:r>
        <w:rPr>
          <w:b/>
          <w:bCs/>
        </w:rPr>
        <w:t xml:space="preserve">Total Market Size (2025):</w:t>
      </w:r>
      <w:r>
        <w:t xml:space="preserve"> </w:t>
      </w:r>
      <w:r>
        <w:t xml:space="preserve">USD $129.58 million</w:t>
      </w:r>
      <w:r>
        <w:t xml:space="preserve"> </w:t>
      </w:r>
      <w:r>
        <w:rPr>
          <w:b/>
          <w:bCs/>
        </w:rPr>
        <w:t xml:space="preserve">Top Spending Category:</w:t>
      </w:r>
      <w:r>
        <w:t xml:space="preserve"> </w:t>
      </w:r>
      <w:r>
        <w:t xml:space="preserve">Retail &amp; Consumer Goods (44.49%)</w:t>
      </w:r>
      <w:r>
        <w:t xml:space="preserve"> </w:t>
      </w:r>
      <w:r>
        <w:rPr>
          <w:b/>
          <w:bCs/>
        </w:rPr>
        <w:t xml:space="preserve">Fastest Growing Category:</w:t>
      </w:r>
      <w:r>
        <w:t xml:space="preserve"> </w:t>
      </w:r>
      <w:r>
        <w:t xml:space="preserve">Telecom &amp; Technology (7.04% CAGR)</w:t>
      </w:r>
      <w:r>
        <w:t xml:space="preserve"> </w:t>
      </w:r>
      <w:r>
        <w:rPr>
          <w:b/>
          <w:bCs/>
        </w:rPr>
        <w:t xml:space="preserve">Geographic Concentration:</w:t>
      </w:r>
      <w:r>
        <w:t xml:space="preserve"> </w:t>
      </w:r>
      <w:r>
        <w:t xml:space="preserve">HCMC + Hanoi (60-70% of spend)</w:t>
      </w:r>
      <w:r>
        <w:t xml:space="preserve"> </w:t>
      </w:r>
      <w:r>
        <w:rPr>
          <w:b/>
          <w:bCs/>
        </w:rPr>
        <w:t xml:space="preserve">Key Trend:</w:t>
      </w:r>
      <w:r>
        <w:t xml:space="preserve"> </w:t>
      </w:r>
      <w:r>
        <w:t xml:space="preserve">Programmatic adoption driving 61.8% revenue uplift</w:t>
      </w:r>
    </w:p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5" Target="https://brancherx.com/dooh-trends-in-2024/" TargetMode="External" /><Relationship Type="http://schemas.openxmlformats.org/officeDocument/2006/relationships/hyperlink" Id="rId116" Target="https://brandfinance.com/press-releases/robust-growth-in-value-of-food-and-banking-brands-illuminate-vietnams-cloudy-2024-forecast-brand-finance-vietnam-100-2024-report" TargetMode="External" /><Relationship Type="http://schemas.openxmlformats.org/officeDocument/2006/relationships/hyperlink" Id="rId110" Target="https://chicilonmedia.com/news/bantintiengtrung13-352.html" TargetMode="External" /><Relationship Type="http://schemas.openxmlformats.org/officeDocument/2006/relationships/hyperlink" Id="rId109" Target="https://chicilonmedia.com/news/chicilon-medias-communication-solution-receives-vietnam-digital-awards-2024-350.html" TargetMode="External" /><Relationship Type="http://schemas.openxmlformats.org/officeDocument/2006/relationships/hyperlink" Id="rId101" Target="https://the-shiv.com/vietnams-advertising-industry/" TargetMode="External" /><Relationship Type="http://schemas.openxmlformats.org/officeDocument/2006/relationships/hyperlink" Id="rId100" Target="https://www.imarcgroup.com/vietnam-digital-ooh-advertising-market" TargetMode="External" /><Relationship Type="http://schemas.openxmlformats.org/officeDocument/2006/relationships/hyperlink" Id="rId102" Target="https://www.kenresearch.com/industry-reports/vietnam-advertising-market" TargetMode="External" /><Relationship Type="http://schemas.openxmlformats.org/officeDocument/2006/relationships/hyperlink" Id="rId103" Target="https://www.mordorintelligence.com/industry-reports/southeast-asia-advertising-market" TargetMode="External" /><Relationship Type="http://schemas.openxmlformats.org/officeDocument/2006/relationships/hyperlink" Id="rId97" Target="https://www.mordorintelligence.com/industry-reports/vietnam-ooh-and-dooh-market" TargetMode="External" /><Relationship Type="http://schemas.openxmlformats.org/officeDocument/2006/relationships/hyperlink" Id="rId106" Target="https://www.movingwalls.com/case-studies/calvin-klein-dooh-campaign-vietnam/" TargetMode="External" /><Relationship Type="http://schemas.openxmlformats.org/officeDocument/2006/relationships/hyperlink" Id="rId107" Target="https://www.movingwalls.com/ebooks/the-future-of-ooh-dooh-in-vietnam/" TargetMode="External" /><Relationship Type="http://schemas.openxmlformats.org/officeDocument/2006/relationships/hyperlink" Id="rId114" Target="https://www.silverpush.co/blogs/tet-2024-market-insights-and-consumer-behavior/" TargetMode="External" /><Relationship Type="http://schemas.openxmlformats.org/officeDocument/2006/relationships/hyperlink" Id="rId113" Target="https://www.silverpush.co/blogs/vietnam-tet-marketing-strategies/" TargetMode="External" /><Relationship Type="http://schemas.openxmlformats.org/officeDocument/2006/relationships/hyperlink" Id="rId99" Target="https://www.statista.com/outlook/amo/advertising/out-of-home-advertising/digital-out-of-home-advertising/vietnam" TargetMode="External" /><Relationship Type="http://schemas.openxmlformats.org/officeDocument/2006/relationships/hyperlink" Id="rId98" Target="https://www.statista.com/outlook/amo/advertising/out-of-home-advertising/vietnam" TargetMode="External" /><Relationship Type="http://schemas.openxmlformats.org/officeDocument/2006/relationships/hyperlink" Id="rId111" Target="https://www.vietnam.vn/en/91-100-doanh-nghiep-lon-nhat-tai-viet-nam-lua-chon-kenh-quang-cao-chicilon-medi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5" Target="https://brancherx.com/dooh-trends-in-2024/" TargetMode="External" /><Relationship Type="http://schemas.openxmlformats.org/officeDocument/2006/relationships/hyperlink" Id="rId116" Target="https://brandfinance.com/press-releases/robust-growth-in-value-of-food-and-banking-brands-illuminate-vietnams-cloudy-2024-forecast-brand-finance-vietnam-100-2024-report" TargetMode="External" /><Relationship Type="http://schemas.openxmlformats.org/officeDocument/2006/relationships/hyperlink" Id="rId110" Target="https://chicilonmedia.com/news/bantintiengtrung13-352.html" TargetMode="External" /><Relationship Type="http://schemas.openxmlformats.org/officeDocument/2006/relationships/hyperlink" Id="rId109" Target="https://chicilonmedia.com/news/chicilon-medias-communication-solution-receives-vietnam-digital-awards-2024-350.html" TargetMode="External" /><Relationship Type="http://schemas.openxmlformats.org/officeDocument/2006/relationships/hyperlink" Id="rId101" Target="https://the-shiv.com/vietnams-advertising-industry/" TargetMode="External" /><Relationship Type="http://schemas.openxmlformats.org/officeDocument/2006/relationships/hyperlink" Id="rId100" Target="https://www.imarcgroup.com/vietnam-digital-ooh-advertising-market" TargetMode="External" /><Relationship Type="http://schemas.openxmlformats.org/officeDocument/2006/relationships/hyperlink" Id="rId102" Target="https://www.kenresearch.com/industry-reports/vietnam-advertising-market" TargetMode="External" /><Relationship Type="http://schemas.openxmlformats.org/officeDocument/2006/relationships/hyperlink" Id="rId103" Target="https://www.mordorintelligence.com/industry-reports/southeast-asia-advertising-market" TargetMode="External" /><Relationship Type="http://schemas.openxmlformats.org/officeDocument/2006/relationships/hyperlink" Id="rId97" Target="https://www.mordorintelligence.com/industry-reports/vietnam-ooh-and-dooh-market" TargetMode="External" /><Relationship Type="http://schemas.openxmlformats.org/officeDocument/2006/relationships/hyperlink" Id="rId106" Target="https://www.movingwalls.com/case-studies/calvin-klein-dooh-campaign-vietnam/" TargetMode="External" /><Relationship Type="http://schemas.openxmlformats.org/officeDocument/2006/relationships/hyperlink" Id="rId107" Target="https://www.movingwalls.com/ebooks/the-future-of-ooh-dooh-in-vietnam/" TargetMode="External" /><Relationship Type="http://schemas.openxmlformats.org/officeDocument/2006/relationships/hyperlink" Id="rId114" Target="https://www.silverpush.co/blogs/tet-2024-market-insights-and-consumer-behavior/" TargetMode="External" /><Relationship Type="http://schemas.openxmlformats.org/officeDocument/2006/relationships/hyperlink" Id="rId113" Target="https://www.silverpush.co/blogs/vietnam-tet-marketing-strategies/" TargetMode="External" /><Relationship Type="http://schemas.openxmlformats.org/officeDocument/2006/relationships/hyperlink" Id="rId99" Target="https://www.statista.com/outlook/amo/advertising/out-of-home-advertising/digital-out-of-home-advertising/vietnam" TargetMode="External" /><Relationship Type="http://schemas.openxmlformats.org/officeDocument/2006/relationships/hyperlink" Id="rId98" Target="https://www.statista.com/outlook/amo/advertising/out-of-home-advertising/vietnam" TargetMode="External" /><Relationship Type="http://schemas.openxmlformats.org/officeDocument/2006/relationships/hyperlink" Id="rId111" Target="https://www.vietnam.vn/en/91-100-doanh-nghiep-lon-nhat-tai-viet-nam-lua-chon-kenh-quang-cao-chicilon-medi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2025-12-02T15:43:59Z</dcterms:created>
  <dcterms:modified xsi:type="dcterms:W3CDTF">2025-12-02T15:43:59Z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