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03366"/>
          <w:sz w:val="48"/>
        </w:rPr>
        <w:t>BÁO CÁO PHÂN TÍCH</w:t>
        <w:br/>
        <w:t>THỊ TRƯỜNG BẢO HIỂM PHI NHÂN THỌ</w:t>
      </w:r>
    </w:p>
    <w:p/>
    <w:p>
      <w:pPr>
        <w:jc w:val="center"/>
      </w:pPr>
      <w:r>
        <w:rPr>
          <w:rFonts w:ascii="Arial" w:hAnsi="Arial"/>
          <w:color w:val="0066CC"/>
          <w:sz w:val="36"/>
        </w:rPr>
        <w:t>Congo (DRC), Kazakhstan, Philippines</w:t>
      </w:r>
    </w:p>
    <w:p/>
    <w:p/>
    <w:p>
      <w:pPr>
        <w:jc w:val="center"/>
      </w:pPr>
      <w:r>
        <w:rPr>
          <w:rFonts w:ascii="Arial" w:hAnsi="Arial"/>
          <w:sz w:val="28"/>
        </w:rPr>
        <w:t>Khách hàng: BeeVN</w:t>
        <w:br/>
        <w:t>Đối tác Bảo hiểm Ủy quyền của Vinfast</w:t>
      </w:r>
    </w:p>
    <w:p/>
    <w:p>
      <w:pPr>
        <w:jc w:val="center"/>
      </w:pPr>
      <w:r>
        <w:rPr>
          <w:rFonts w:ascii="Arial" w:hAnsi="Arial"/>
          <w:sz w:val="24"/>
        </w:rPr>
        <w:t>04 tháng 02 năm 2026</w:t>
      </w:r>
    </w:p>
    <w:p>
      <w:r>
        <w:br w:type="page"/>
      </w:r>
    </w:p>
    <w:p>
      <w:pPr>
        <w:pStyle w:val="Heading1"/>
        <w:jc w:val="left"/>
      </w:pPr>
      <w:r>
        <w:rPr>
          <w:rFonts w:ascii="Arial" w:hAnsi="Arial"/>
          <w:color w:val="003366"/>
        </w:rPr>
        <w:t>TÓM TẮT ĐIỀU HÀNH</w:t>
      </w:r>
    </w:p>
    <w:p>
      <w:r>
        <w:rPr>
          <w:rFonts w:ascii="Arial" w:hAnsi="Arial"/>
        </w:rPr>
        <w:t>Báo cáo này phân tích thị trường bảo hiểm phi nhân thọ tại ba thị trường trọng điểm cho sự mở rộng của Vinfast: Cộng Hòa Dân Chủ Congo (DRC), Kazakhstan, và Philippines. Dưới đây là những phát hiện chính và khuyến nghị chiến lược cho BeeVN.</w:t>
      </w:r>
    </w:p>
    <w:p/>
    <w:p>
      <w:pPr>
        <w:pStyle w:val="Heading2"/>
        <w:jc w:val="left"/>
      </w:pPr>
      <w:r>
        <w:rPr>
          <w:rFonts w:ascii="Arial" w:hAnsi="Arial"/>
          <w:color w:val="003366"/>
        </w:rPr>
        <w:t>So Sánh Nhanh Ba Thị Trường</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rFonts w:ascii="Arial" w:hAnsi="Arial"/>
                <w:b/>
                <w:sz w:val="20"/>
              </w:rPr>
              <w:t>Thị trường</w:t>
            </w:r>
          </w:p>
        </w:tc>
        <w:tc>
          <w:tcPr>
            <w:tcW w:type="dxa" w:w="1440"/>
          </w:tcPr>
          <w:p>
            <w:r>
              <w:rPr>
                <w:rFonts w:ascii="Arial" w:hAnsi="Arial"/>
                <w:b/>
                <w:sz w:val="20"/>
              </w:rPr>
              <w:t>Cơ quan quản lý</w:t>
            </w:r>
          </w:p>
        </w:tc>
        <w:tc>
          <w:tcPr>
            <w:tcW w:type="dxa" w:w="1440"/>
          </w:tcPr>
          <w:p>
            <w:r>
              <w:rPr>
                <w:rFonts w:ascii="Arial" w:hAnsi="Arial"/>
                <w:b/>
                <w:sz w:val="20"/>
              </w:rPr>
              <w:t>Khung khu vực</w:t>
            </w:r>
          </w:p>
        </w:tc>
        <w:tc>
          <w:tcPr>
            <w:tcW w:type="dxa" w:w="1440"/>
          </w:tcPr>
          <w:p>
            <w:r>
              <w:rPr>
                <w:rFonts w:ascii="Arial" w:hAnsi="Arial"/>
                <w:b/>
                <w:sz w:val="20"/>
              </w:rPr>
              <w:t>Yêu cầu môi giới nước ngoài</w:t>
            </w:r>
          </w:p>
        </w:tc>
        <w:tc>
          <w:tcPr>
            <w:tcW w:type="dxa" w:w="1440"/>
          </w:tcPr>
          <w:p>
            <w:r>
              <w:rPr>
                <w:rFonts w:ascii="Arial" w:hAnsi="Arial"/>
                <w:b/>
                <w:sz w:val="20"/>
              </w:rPr>
              <w:t>Vốn tối thiểu</w:t>
            </w:r>
          </w:p>
        </w:tc>
        <w:tc>
          <w:tcPr>
            <w:tcW w:type="dxa" w:w="1440"/>
          </w:tcPr>
          <w:p>
            <w:r>
              <w:rPr>
                <w:rFonts w:ascii="Arial" w:hAnsi="Arial"/>
                <w:b/>
                <w:sz w:val="20"/>
              </w:rPr>
              <w:t>Quy mô thị trường</w:t>
            </w:r>
          </w:p>
        </w:tc>
      </w:tr>
      <w:tr>
        <w:tc>
          <w:tcPr>
            <w:tcW w:type="dxa" w:w="1440"/>
          </w:tcPr>
          <w:p>
            <w:r>
              <w:rPr>
                <w:rFonts w:ascii="Arial" w:hAnsi="Arial"/>
                <w:sz w:val="20"/>
              </w:rPr>
              <w:t>DRC (Congo)</w:t>
            </w:r>
          </w:p>
        </w:tc>
        <w:tc>
          <w:tcPr>
            <w:tcW w:type="dxa" w:w="1440"/>
          </w:tcPr>
          <w:p>
            <w:r>
              <w:rPr>
                <w:rFonts w:ascii="Arial" w:hAnsi="Arial"/>
                <w:sz w:val="20"/>
              </w:rPr>
              <w:t>ARCA</w:t>
            </w:r>
          </w:p>
        </w:tc>
        <w:tc>
          <w:tcPr>
            <w:tcW w:type="dxa" w:w="1440"/>
          </w:tcPr>
          <w:p>
            <w:r>
              <w:rPr>
                <w:rFonts w:ascii="Arial" w:hAnsi="Arial"/>
                <w:sz w:val="20"/>
              </w:rPr>
              <w:t>KHÔNG phải thành viên CIMA</w:t>
            </w:r>
          </w:p>
        </w:tc>
        <w:tc>
          <w:tcPr>
            <w:tcW w:type="dxa" w:w="1440"/>
          </w:tcPr>
          <w:p>
            <w:r>
              <w:rPr>
                <w:rFonts w:ascii="Arial" w:hAnsi="Arial"/>
                <w:sz w:val="20"/>
              </w:rPr>
              <w:t>Thành lập công ty địa phương bắt buộc</w:t>
            </w:r>
          </w:p>
        </w:tc>
        <w:tc>
          <w:tcPr>
            <w:tcW w:type="dxa" w:w="1440"/>
          </w:tcPr>
          <w:p>
            <w:r>
              <w:rPr>
                <w:rFonts w:ascii="Arial" w:hAnsi="Arial"/>
                <w:sz w:val="20"/>
              </w:rPr>
              <w:t>Chưa xác định</w:t>
            </w:r>
          </w:p>
        </w:tc>
        <w:tc>
          <w:tcPr>
            <w:tcW w:type="dxa" w:w="1440"/>
          </w:tcPr>
          <w:p>
            <w:r>
              <w:rPr>
                <w:rFonts w:ascii="Arial" w:hAnsi="Arial"/>
                <w:sz w:val="20"/>
              </w:rPr>
              <w:t>USD 350M (2025)</w:t>
            </w:r>
          </w:p>
        </w:tc>
      </w:tr>
      <w:tr>
        <w:tc>
          <w:tcPr>
            <w:tcW w:type="dxa" w:w="1440"/>
          </w:tcPr>
          <w:p>
            <w:r>
              <w:rPr>
                <w:rFonts w:ascii="Arial" w:hAnsi="Arial"/>
                <w:sz w:val="20"/>
              </w:rPr>
              <w:t>Kazakhstan</w:t>
            </w:r>
          </w:p>
        </w:tc>
        <w:tc>
          <w:tcPr>
            <w:tcW w:type="dxa" w:w="1440"/>
          </w:tcPr>
          <w:p>
            <w:r>
              <w:rPr>
                <w:rFonts w:ascii="Arial" w:hAnsi="Arial"/>
                <w:sz w:val="20"/>
              </w:rPr>
              <w:t>ARDFM (NBK)</w:t>
            </w:r>
          </w:p>
        </w:tc>
        <w:tc>
          <w:tcPr>
            <w:tcW w:type="dxa" w:w="1440"/>
          </w:tcPr>
          <w:p>
            <w:r>
              <w:rPr>
                <w:rFonts w:ascii="Arial" w:hAnsi="Arial"/>
                <w:sz w:val="20"/>
              </w:rPr>
              <w:t>Thành viên EAEU</w:t>
            </w:r>
          </w:p>
        </w:tc>
        <w:tc>
          <w:tcPr>
            <w:tcW w:type="dxa" w:w="1440"/>
          </w:tcPr>
          <w:p>
            <w:r>
              <w:rPr>
                <w:rFonts w:ascii="Arial" w:hAnsi="Arial"/>
                <w:sz w:val="20"/>
              </w:rPr>
              <w:t>Chi nhánh hoặc công ty con</w:t>
            </w:r>
          </w:p>
        </w:tc>
        <w:tc>
          <w:tcPr>
            <w:tcW w:type="dxa" w:w="1440"/>
          </w:tcPr>
          <w:p>
            <w:r>
              <w:rPr>
                <w:rFonts w:ascii="Arial" w:hAnsi="Arial"/>
                <w:sz w:val="20"/>
              </w:rPr>
              <w:t>Khác nhau theo hình thức</w:t>
            </w:r>
          </w:p>
        </w:tc>
        <w:tc>
          <w:tcPr>
            <w:tcW w:type="dxa" w:w="1440"/>
          </w:tcPr>
          <w:p>
            <w:r>
              <w:rPr>
                <w:rFonts w:ascii="Arial" w:hAnsi="Arial"/>
                <w:sz w:val="20"/>
              </w:rPr>
              <w:t>KZT 674.5 tỷ (2025)</w:t>
            </w:r>
          </w:p>
        </w:tc>
      </w:tr>
      <w:tr>
        <w:tc>
          <w:tcPr>
            <w:tcW w:type="dxa" w:w="1440"/>
          </w:tcPr>
          <w:p>
            <w:r>
              <w:rPr>
                <w:rFonts w:ascii="Arial" w:hAnsi="Arial"/>
                <w:sz w:val="20"/>
              </w:rPr>
              <w:t>Philippines</w:t>
            </w:r>
          </w:p>
        </w:tc>
        <w:tc>
          <w:tcPr>
            <w:tcW w:type="dxa" w:w="1440"/>
          </w:tcPr>
          <w:p>
            <w:r>
              <w:rPr>
                <w:rFonts w:ascii="Arial" w:hAnsi="Arial"/>
                <w:sz w:val="20"/>
              </w:rPr>
              <w:t>Insurance Commission</w:t>
            </w:r>
          </w:p>
        </w:tc>
        <w:tc>
          <w:tcPr>
            <w:tcW w:type="dxa" w:w="1440"/>
          </w:tcPr>
          <w:p>
            <w:r>
              <w:rPr>
                <w:rFonts w:ascii="Arial" w:hAnsi="Arial"/>
                <w:sz w:val="20"/>
              </w:rPr>
              <w:t>Độc lập</w:t>
            </w:r>
          </w:p>
        </w:tc>
        <w:tc>
          <w:tcPr>
            <w:tcW w:type="dxa" w:w="1440"/>
          </w:tcPr>
          <w:p>
            <w:r>
              <w:rPr>
                <w:rFonts w:ascii="Arial" w:hAnsi="Arial"/>
                <w:sz w:val="20"/>
              </w:rPr>
              <w:t>100% sở hữu nước ngoài được phép</w:t>
            </w:r>
          </w:p>
        </w:tc>
        <w:tc>
          <w:tcPr>
            <w:tcW w:type="dxa" w:w="1440"/>
          </w:tcPr>
          <w:p>
            <w:r>
              <w:rPr>
                <w:rFonts w:ascii="Arial" w:hAnsi="Arial"/>
                <w:sz w:val="20"/>
              </w:rPr>
              <w:t>PHP 20M (~$350K)</w:t>
            </w:r>
          </w:p>
        </w:tc>
        <w:tc>
          <w:tcPr>
            <w:tcW w:type="dxa" w:w="1440"/>
          </w:tcPr>
          <w:p>
            <w:r>
              <w:rPr>
                <w:rFonts w:ascii="Arial" w:hAnsi="Arial"/>
                <w:sz w:val="20"/>
              </w:rPr>
              <w:t>USD 2.11 tỷ (2024)</w:t>
            </w:r>
          </w:p>
        </w:tc>
      </w:tr>
    </w:tbl>
    <w:p/>
    <w:p>
      <w:pPr>
        <w:pStyle w:val="Heading2"/>
        <w:jc w:val="left"/>
      </w:pPr>
      <w:r>
        <w:rPr>
          <w:rFonts w:ascii="Arial" w:hAnsi="Arial"/>
          <w:color w:val="003366"/>
        </w:rPr>
        <w:t>Những Phát Hiện Chính</w:t>
      </w:r>
    </w:p>
    <w:p>
      <w:r>
        <w:rPr>
          <w:rFonts w:ascii="Arial" w:hAnsi="Arial"/>
          <w:b/>
          <w:sz w:val="22"/>
        </w:rPr>
        <w:t>DRC - Thị trường đang phát triển nhanh:</w:t>
      </w:r>
      <w:r>
        <w:rPr>
          <w:rFonts w:ascii="Arial" w:hAnsi="Arial"/>
          <w:sz w:val="22"/>
        </w:rPr>
        <w:t xml:space="preserve"> Thị trường bảo hiểm phi nhân thọ tăng trưởng 5 lần từ $67M lên $350M sau khi tự do hóa năm 2018. YÊU CẦU QUAN TRỌNG: Bảo hiểm hàng hóa nhập khẩu phải sử dụng công ty bảo hiểm địa phương DRC.</w:t>
      </w:r>
    </w:p>
    <w:p>
      <w:r>
        <w:rPr>
          <w:rFonts w:ascii="Arial" w:hAnsi="Arial"/>
          <w:b/>
          <w:sz w:val="22"/>
        </w:rPr>
        <w:t>Kazakhstan - Môi trường quy định mạnh:</w:t>
      </w:r>
      <w:r>
        <w:rPr>
          <w:rFonts w:ascii="Arial" w:hAnsi="Arial"/>
          <w:sz w:val="22"/>
        </w:rPr>
        <w:t xml:space="preserve"> Thị trường bảo hiểm tăng trưởng 24% năm 2025. Hơn 19,000 xe điện đã đăng ký (H1 2025) với các ưu đãi của chính phủ. Thị trường bảo hiểm EV chưa phát triển - cơ hội lớn cho chuyên môn hóa.</w:t>
      </w:r>
    </w:p>
    <w:p>
      <w:r>
        <w:rPr>
          <w:rFonts w:ascii="Arial" w:hAnsi="Arial"/>
          <w:b/>
          <w:sz w:val="22"/>
        </w:rPr>
        <w:t>Philippines - Hoạt động Vinfast đang diễn ra:</w:t>
      </w:r>
      <w:r>
        <w:rPr>
          <w:rFonts w:ascii="Arial" w:hAnsi="Arial"/>
          <w:sz w:val="22"/>
        </w:rPr>
        <w:t xml:space="preserve"> Vinfast đã mở các đại lý từ tháng 7/2024 với quan hệ đối tác BDO. Luật EVIDA cung cấp ưu đãi cho EV, yêu cầu 5% đội xe của công ty phải là xe điện. Doanh số EV tăng 80% năm 2024.</w:t>
      </w:r>
    </w:p>
    <w:p>
      <w:r>
        <w:br w:type="page"/>
      </w:r>
    </w:p>
    <w:p>
      <w:pPr>
        <w:pStyle w:val="Heading1"/>
        <w:jc w:val="left"/>
      </w:pPr>
      <w:r>
        <w:rPr>
          <w:rFonts w:ascii="Arial" w:hAnsi="Arial"/>
          <w:color w:val="003366"/>
        </w:rPr>
        <w:t>PHẦN 1: CỘNG HÒA DÂN CHỦ CONGO (DRC)</w:t>
      </w:r>
    </w:p>
    <w:p>
      <w:pPr>
        <w:pStyle w:val="Heading2"/>
        <w:jc w:val="left"/>
      </w:pPr>
      <w:r>
        <w:rPr>
          <w:rFonts w:ascii="Arial" w:hAnsi="Arial"/>
          <w:color w:val="003366"/>
        </w:rPr>
        <w:t>1.1 Khung Pháp Lý</w:t>
      </w:r>
    </w:p>
    <w:p>
      <w:r>
        <w:rPr>
          <w:rFonts w:ascii="Arial" w:hAnsi="Arial"/>
          <w:b/>
        </w:rPr>
        <w:t xml:space="preserve">Cơ quan quản lý: </w:t>
      </w:r>
      <w:r>
        <w:rPr>
          <w:rFonts w:ascii="Arial" w:hAnsi="Arial"/>
        </w:rPr>
        <w:t>ARCA (Autorité de Régulation et de Contrôle des Assurances)</w:t>
      </w:r>
    </w:p>
    <w:p>
      <w:r>
        <w:rPr>
          <w:rFonts w:ascii="Arial" w:hAnsi="Arial"/>
          <w:b/>
        </w:rPr>
        <w:t xml:space="preserve">Luật chính: </w:t>
      </w:r>
      <w:r>
        <w:rPr>
          <w:rFonts w:ascii="Arial" w:hAnsi="Arial"/>
        </w:rPr>
        <w:t>Luật Bảo hiểm số 15/005 ngày 17 tháng 3 năm 2015</w:t>
      </w:r>
    </w:p>
    <w:p>
      <w:r>
        <w:rPr>
          <w:rFonts w:ascii="Arial" w:hAnsi="Arial"/>
          <w:b/>
        </w:rPr>
        <w:t xml:space="preserve">Tình trạng CIMA: </w:t>
      </w:r>
      <w:r>
        <w:rPr>
          <w:rFonts w:ascii="Arial" w:hAnsi="Arial"/>
        </w:rPr>
        <w:t>DRC KHÔNG phải là thành viên CIMA - hoạt động theo hệ thống quản lý độc lập</w:t>
      </w:r>
    </w:p>
    <w:p/>
    <w:p>
      <w:pPr>
        <w:pStyle w:val="Heading2"/>
        <w:jc w:val="left"/>
      </w:pPr>
      <w:r>
        <w:rPr>
          <w:rFonts w:ascii="Arial" w:hAnsi="Arial"/>
          <w:color w:val="003366"/>
        </w:rPr>
        <w:t>1.2 Yêu Cầu Cấp Phép Môi Giới</w:t>
      </w:r>
    </w:p>
    <w:p>
      <w:r>
        <w:rPr>
          <w:rFonts w:ascii="Arial" w:hAnsi="Arial"/>
          <w:b/>
        </w:rPr>
        <w:t>Cấu trúc pháp lý bắt buộc:</w:t>
      </w:r>
    </w:p>
    <w:p>
      <w:pPr>
        <w:pStyle w:val="ListBullet"/>
      </w:pPr>
      <w:r>
        <w:rPr>
          <w:rFonts w:ascii="Arial" w:hAnsi="Arial"/>
          <w:sz w:val="22"/>
        </w:rPr>
        <w:t>Phải thành lập công ty theo luật Congo dưới hình thức société anonyme (SA)</w:t>
      </w:r>
    </w:p>
    <w:p>
      <w:pPr>
        <w:pStyle w:val="ListBullet"/>
      </w:pPr>
      <w:r>
        <w:rPr>
          <w:rFonts w:ascii="Arial" w:hAnsi="Arial"/>
          <w:sz w:val="22"/>
        </w:rPr>
        <w:t>Bổ nhiệm ban quản lý có trình độ (bằng đại học + 10 năm kinh nghiệm)</w:t>
      </w:r>
    </w:p>
    <w:p>
      <w:pPr>
        <w:pStyle w:val="ListBullet"/>
      </w:pPr>
      <w:r>
        <w:rPr>
          <w:rFonts w:ascii="Arial" w:hAnsi="Arial"/>
          <w:sz w:val="22"/>
        </w:rPr>
        <w:t>Xin giấy phép ARCA với tư cách trung gian bảo hiểm</w:t>
      </w:r>
    </w:p>
    <w:p>
      <w:pPr>
        <w:pStyle w:val="ListBullet"/>
      </w:pPr>
      <w:r>
        <w:rPr>
          <w:rFonts w:ascii="Arial" w:hAnsi="Arial"/>
          <w:sz w:val="22"/>
        </w:rPr>
        <w:t>Thiết lập văn phòng thực tế tại DRC</w:t>
      </w:r>
    </w:p>
    <w:p>
      <w:pPr>
        <w:pStyle w:val="ListBullet"/>
      </w:pPr>
      <w:r>
        <w:rPr>
          <w:rFonts w:ascii="Arial" w:hAnsi="Arial"/>
          <w:sz w:val="22"/>
        </w:rPr>
        <w:t>Chưa rõ: Yêu cầu đối tác địa phương, vốn tối thiểu cụ thể</w:t>
      </w:r>
    </w:p>
    <w:p/>
    <w:p>
      <w:pPr>
        <w:pStyle w:val="Heading2"/>
        <w:jc w:val="left"/>
      </w:pPr>
      <w:r>
        <w:rPr>
          <w:rFonts w:ascii="Arial" w:hAnsi="Arial"/>
          <w:color w:val="003366"/>
        </w:rPr>
        <w:t>1.3 Bảo Hiểm Bắt Buộc</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rFonts w:ascii="Arial" w:hAnsi="Arial"/>
                <w:b/>
                <w:sz w:val="20"/>
              </w:rPr>
              <w:t>Loại bảo hiểm</w:t>
            </w:r>
          </w:p>
        </w:tc>
        <w:tc>
          <w:tcPr>
            <w:tcW w:type="dxa" w:w="1728"/>
          </w:tcPr>
          <w:p>
            <w:r>
              <w:rPr>
                <w:rFonts w:ascii="Arial" w:hAnsi="Arial"/>
                <w:b/>
                <w:sz w:val="20"/>
              </w:rPr>
              <w:t>Cơ sở pháp lý</w:t>
            </w:r>
          </w:p>
        </w:tc>
        <w:tc>
          <w:tcPr>
            <w:tcW w:type="dxa" w:w="1728"/>
          </w:tcPr>
          <w:p>
            <w:r>
              <w:rPr>
                <w:rFonts w:ascii="Arial" w:hAnsi="Arial"/>
                <w:b/>
                <w:sz w:val="20"/>
              </w:rPr>
              <w:t>Phạm vi bảo hiểm</w:t>
            </w:r>
          </w:p>
        </w:tc>
        <w:tc>
          <w:tcPr>
            <w:tcW w:type="dxa" w:w="1728"/>
          </w:tcPr>
          <w:p>
            <w:r>
              <w:rPr>
                <w:rFonts w:ascii="Arial" w:hAnsi="Arial"/>
                <w:b/>
                <w:sz w:val="20"/>
              </w:rPr>
              <w:t>Đối tượng bắt buộc</w:t>
            </w:r>
          </w:p>
        </w:tc>
        <w:tc>
          <w:tcPr>
            <w:tcW w:type="dxa" w:w="1728"/>
          </w:tcPr>
          <w:p>
            <w:r>
              <w:rPr>
                <w:rFonts w:ascii="Arial" w:hAnsi="Arial"/>
                <w:b/>
                <w:sz w:val="20"/>
              </w:rPr>
              <w:t>Thời hạn</w:t>
            </w:r>
          </w:p>
        </w:tc>
      </w:tr>
      <w:tr>
        <w:tc>
          <w:tcPr>
            <w:tcW w:type="dxa" w:w="1728"/>
          </w:tcPr>
          <w:p>
            <w:r>
              <w:rPr>
                <w:rFonts w:ascii="Arial" w:hAnsi="Arial"/>
                <w:sz w:val="20"/>
              </w:rPr>
              <w:t>Bảo hiểm xe cơ giới</w:t>
            </w:r>
          </w:p>
        </w:tc>
        <w:tc>
          <w:tcPr>
            <w:tcW w:type="dxa" w:w="1728"/>
          </w:tcPr>
          <w:p>
            <w:r>
              <w:rPr>
                <w:rFonts w:ascii="Arial" w:hAnsi="Arial"/>
                <w:sz w:val="20"/>
              </w:rPr>
              <w:t>Ordinance 73-013 (1973)</w:t>
            </w:r>
          </w:p>
        </w:tc>
        <w:tc>
          <w:tcPr>
            <w:tcW w:type="dxa" w:w="1728"/>
          </w:tcPr>
          <w:p>
            <w:r>
              <w:rPr>
                <w:rFonts w:ascii="Arial" w:hAnsi="Arial"/>
                <w:sz w:val="20"/>
              </w:rPr>
              <w:t>Bảo hiểm trách nhiệm dân sự bên thứ ba</w:t>
            </w:r>
          </w:p>
        </w:tc>
        <w:tc>
          <w:tcPr>
            <w:tcW w:type="dxa" w:w="1728"/>
          </w:tcPr>
          <w:p>
            <w:r>
              <w:rPr>
                <w:rFonts w:ascii="Arial" w:hAnsi="Arial"/>
                <w:sz w:val="20"/>
              </w:rPr>
              <w:t>Tất cả chủ xe</w:t>
            </w:r>
          </w:p>
        </w:tc>
        <w:tc>
          <w:tcPr>
            <w:tcW w:type="dxa" w:w="1728"/>
          </w:tcPr>
          <w:p>
            <w:r>
              <w:rPr>
                <w:rFonts w:ascii="Arial" w:hAnsi="Arial"/>
                <w:sz w:val="20"/>
              </w:rPr>
              <w:t>Hàng năm</w:t>
            </w:r>
          </w:p>
        </w:tc>
      </w:tr>
      <w:tr>
        <w:tc>
          <w:tcPr>
            <w:tcW w:type="dxa" w:w="1728"/>
          </w:tcPr>
          <w:p>
            <w:r>
              <w:rPr>
                <w:rFonts w:ascii="Arial" w:hAnsi="Arial"/>
                <w:sz w:val="20"/>
              </w:rPr>
              <w:t>Bồi thường người lao động</w:t>
            </w:r>
          </w:p>
        </w:tc>
        <w:tc>
          <w:tcPr>
            <w:tcW w:type="dxa" w:w="1728"/>
          </w:tcPr>
          <w:p>
            <w:r>
              <w:rPr>
                <w:rFonts w:ascii="Arial" w:hAnsi="Arial"/>
                <w:sz w:val="20"/>
              </w:rPr>
              <w:t>Chương trình nhà nước INSS</w:t>
            </w:r>
          </w:p>
        </w:tc>
        <w:tc>
          <w:tcPr>
            <w:tcW w:type="dxa" w:w="1728"/>
          </w:tcPr>
          <w:p>
            <w:r>
              <w:rPr>
                <w:rFonts w:ascii="Arial" w:hAnsi="Arial"/>
                <w:sz w:val="20"/>
              </w:rPr>
              <w:t>1.5-3% lương</w:t>
            </w:r>
          </w:p>
        </w:tc>
        <w:tc>
          <w:tcPr>
            <w:tcW w:type="dxa" w:w="1728"/>
          </w:tcPr>
          <w:p>
            <w:r>
              <w:rPr>
                <w:rFonts w:ascii="Arial" w:hAnsi="Arial"/>
                <w:sz w:val="20"/>
              </w:rPr>
              <w:t>Tất cả nhà tuyển dụng</w:t>
            </w:r>
          </w:p>
        </w:tc>
        <w:tc>
          <w:tcPr>
            <w:tcW w:type="dxa" w:w="1728"/>
          </w:tcPr>
          <w:p>
            <w:r>
              <w:rPr>
                <w:rFonts w:ascii="Arial" w:hAnsi="Arial"/>
                <w:sz w:val="20"/>
              </w:rPr>
              <w:t>Hàng tháng</w:t>
            </w:r>
          </w:p>
        </w:tc>
      </w:tr>
      <w:tr>
        <w:tc>
          <w:tcPr>
            <w:tcW w:type="dxa" w:w="1728"/>
          </w:tcPr>
          <w:p>
            <w:r>
              <w:rPr>
                <w:rFonts w:ascii="Arial" w:hAnsi="Arial"/>
                <w:sz w:val="20"/>
              </w:rPr>
              <w:t>Bảo hiểm xây dựng</w:t>
            </w:r>
          </w:p>
        </w:tc>
        <w:tc>
          <w:tcPr>
            <w:tcW w:type="dxa" w:w="1728"/>
          </w:tcPr>
          <w:p>
            <w:r>
              <w:rPr>
                <w:rFonts w:ascii="Arial" w:hAnsi="Arial"/>
                <w:sz w:val="20"/>
              </w:rPr>
              <w:t>Luật 74-007 (1974)</w:t>
            </w:r>
          </w:p>
        </w:tc>
        <w:tc>
          <w:tcPr>
            <w:tcW w:type="dxa" w:w="1728"/>
          </w:tcPr>
          <w:p>
            <w:r>
              <w:rPr>
                <w:rFonts w:ascii="Arial" w:hAnsi="Arial"/>
                <w:sz w:val="20"/>
              </w:rPr>
              <w:t>Trách nhiệm 10 năm (decennial)</w:t>
            </w:r>
          </w:p>
        </w:tc>
        <w:tc>
          <w:tcPr>
            <w:tcW w:type="dxa" w:w="1728"/>
          </w:tcPr>
          <w:p>
            <w:r>
              <w:rPr>
                <w:rFonts w:ascii="Arial" w:hAnsi="Arial"/>
                <w:sz w:val="20"/>
              </w:rPr>
              <w:t>Tất cả dự án xây dựng</w:t>
            </w:r>
          </w:p>
        </w:tc>
        <w:tc>
          <w:tcPr>
            <w:tcW w:type="dxa" w:w="1728"/>
          </w:tcPr>
          <w:p>
            <w:r>
              <w:rPr>
                <w:rFonts w:ascii="Arial" w:hAnsi="Arial"/>
                <w:sz w:val="20"/>
              </w:rPr>
              <w:t>Theo dự án</w:t>
            </w:r>
          </w:p>
        </w:tc>
      </w:tr>
      <w:tr>
        <w:tc>
          <w:tcPr>
            <w:tcW w:type="dxa" w:w="1728"/>
          </w:tcPr>
          <w:p>
            <w:r>
              <w:rPr>
                <w:rFonts w:ascii="Arial" w:hAnsi="Arial"/>
                <w:sz w:val="20"/>
              </w:rPr>
              <w:t>Bảo hiểm hàng nhập khẩu</w:t>
            </w:r>
          </w:p>
        </w:tc>
        <w:tc>
          <w:tcPr>
            <w:tcW w:type="dxa" w:w="1728"/>
          </w:tcPr>
          <w:p>
            <w:r>
              <w:rPr>
                <w:rFonts w:ascii="Arial" w:hAnsi="Arial"/>
                <w:sz w:val="20"/>
              </w:rPr>
              <w:t>Quy định DRC</w:t>
            </w:r>
          </w:p>
        </w:tc>
        <w:tc>
          <w:tcPr>
            <w:tcW w:type="dxa" w:w="1728"/>
          </w:tcPr>
          <w:p>
            <w:r>
              <w:rPr>
                <w:rFonts w:ascii="Arial" w:hAnsi="Arial"/>
                <w:sz w:val="20"/>
              </w:rPr>
              <w:t>Bảo hiểm hàng hóa</w:t>
            </w:r>
          </w:p>
        </w:tc>
        <w:tc>
          <w:tcPr>
            <w:tcW w:type="dxa" w:w="1728"/>
          </w:tcPr>
          <w:p>
            <w:r>
              <w:rPr>
                <w:rFonts w:ascii="Arial" w:hAnsi="Arial"/>
                <w:sz w:val="20"/>
              </w:rPr>
              <w:t>Tất cả nhà nhập khẩu</w:t>
            </w:r>
          </w:p>
        </w:tc>
        <w:tc>
          <w:tcPr>
            <w:tcW w:type="dxa" w:w="1728"/>
          </w:tcPr>
          <w:p>
            <w:r>
              <w:rPr>
                <w:rFonts w:ascii="Arial" w:hAnsi="Arial"/>
                <w:sz w:val="20"/>
              </w:rPr>
              <w:t>Theo lô hàng</w:t>
            </w:r>
          </w:p>
        </w:tc>
      </w:tr>
    </w:tbl>
    <w:p/>
    <w:p>
      <w:pPr>
        <w:ind w:left="720" w:right="720"/>
      </w:pPr>
      <w:r>
        <w:rPr>
          <w:rFonts w:ascii="Arial" w:hAnsi="Arial"/>
          <w:b/>
          <w:sz w:val="22"/>
        </w:rPr>
        <w:t xml:space="preserve">⚠ YÊU CẦU QUAN TRỌNG: </w:t>
      </w:r>
      <w:r>
        <w:rPr>
          <w:rFonts w:ascii="Arial" w:hAnsi="Arial"/>
          <w:sz w:val="22"/>
        </w:rPr>
        <w:t>Bảo hiểm hàng hóa nhập khẩu PHẢI được mua từ công ty bảo hiểm có trụ sở tại DRC. Đây là yêu cầu duy nhất và bắt buộc đối với hoạt động nhập khẩu của Vinfast.</w:t>
      </w:r>
    </w:p>
    <w:p/>
    <w:p>
      <w:pPr>
        <w:pStyle w:val="Heading2"/>
        <w:jc w:val="left"/>
      </w:pPr>
      <w:r>
        <w:rPr>
          <w:rFonts w:ascii="Arial" w:hAnsi="Arial"/>
          <w:color w:val="003366"/>
        </w:rPr>
        <w:t>1.4 Thị Trường và Các Công Ty Bảo Hiểm</w:t>
      </w:r>
    </w:p>
    <w:p>
      <w:r>
        <w:rPr>
          <w:rFonts w:ascii="Arial" w:hAnsi="Arial"/>
          <w:b/>
        </w:rPr>
        <w:t xml:space="preserve">Tăng trưởng thị trường: </w:t>
      </w:r>
      <w:r>
        <w:rPr>
          <w:rFonts w:ascii="Arial" w:hAnsi="Arial"/>
        </w:rPr>
        <w:t>Phí bảo hiểm phi nhân thọ tăng từ $67M (trước 2018) lên $350M (2025) - tăng 5 lần sau tự do hóa.</w:t>
      </w:r>
    </w:p>
    <w:p/>
    <w:p>
      <w:r>
        <w:rPr>
          <w:rFonts w:ascii="Arial" w:hAnsi="Arial"/>
          <w:b/>
        </w:rPr>
        <w:t>Các công ty bảo hiểm chính:</w:t>
      </w:r>
    </w:p>
    <w:p>
      <w:pPr>
        <w:pStyle w:val="ListBullet"/>
      </w:pPr>
      <w:r>
        <w:rPr>
          <w:rFonts w:ascii="Arial" w:hAnsi="Arial"/>
          <w:sz w:val="22"/>
        </w:rPr>
        <w:t>SFA (Société Financière d'Assurance) - Công ty số 2 thị trường, 25% doanh thu từ ngành khai thác</w:t>
      </w:r>
    </w:p>
    <w:p>
      <w:pPr>
        <w:pStyle w:val="ListBullet"/>
      </w:pPr>
      <w:r>
        <w:rPr>
          <w:rFonts w:ascii="Arial" w:hAnsi="Arial"/>
          <w:sz w:val="22"/>
        </w:rPr>
        <w:t>Rawsur DRC và Rawsur Life - Công ty dẫn đầu thị trường</w:t>
      </w:r>
    </w:p>
    <w:p>
      <w:pPr>
        <w:pStyle w:val="ListBullet"/>
      </w:pPr>
      <w:r>
        <w:rPr>
          <w:rFonts w:ascii="Arial" w:hAnsi="Arial"/>
          <w:sz w:val="22"/>
        </w:rPr>
        <w:t>SONAS - Công ty nhà nước (độc quyền trước đây 1968-2018)</w:t>
      </w:r>
    </w:p>
    <w:p>
      <w:pPr>
        <w:pStyle w:val="ListBullet"/>
      </w:pPr>
      <w:r>
        <w:rPr>
          <w:rFonts w:ascii="Arial" w:hAnsi="Arial"/>
          <w:sz w:val="22"/>
        </w:rPr>
        <w:t>Activa Assurance DRC - Thuộc Activa Group (Cameroon)</w:t>
      </w:r>
    </w:p>
    <w:p>
      <w:pPr>
        <w:pStyle w:val="ListBullet"/>
      </w:pPr>
      <w:r>
        <w:rPr>
          <w:rFonts w:ascii="Arial" w:hAnsi="Arial"/>
          <w:sz w:val="22"/>
        </w:rPr>
        <w:t>Mayfair Insurance DRC - Hoạt động tích cực</w:t>
      </w:r>
    </w:p>
    <w:p/>
    <w:p>
      <w:pPr>
        <w:pStyle w:val="Heading2"/>
        <w:jc w:val="left"/>
      </w:pPr>
      <w:r>
        <w:rPr>
          <w:rFonts w:ascii="Arial" w:hAnsi="Arial"/>
          <w:color w:val="003366"/>
        </w:rPr>
        <w:t>1.5 Khuyến Nghị cho Vinfast/BeeVN tại DRC</w:t>
      </w:r>
    </w:p>
    <w:p>
      <w:r>
        <w:rPr>
          <w:rFonts w:ascii="Arial" w:hAnsi="Arial"/>
          <w:sz w:val="22"/>
        </w:rPr>
        <w:t>1. Liên hệ trực tiếp với ARCA để làm rõ yêu cầu cấp phép môi giới và vốn tối thiểu</w:t>
      </w:r>
    </w:p>
    <w:p>
      <w:r>
        <w:rPr>
          <w:rFonts w:ascii="Arial" w:hAnsi="Arial"/>
          <w:sz w:val="22"/>
        </w:rPr>
        <w:t>2. Thuê tư vấn pháp lý Congo để bắt đầu quy trình thành lập société anonyme</w:t>
      </w:r>
    </w:p>
    <w:p>
      <w:r>
        <w:rPr>
          <w:rFonts w:ascii="Arial" w:hAnsi="Arial"/>
          <w:sz w:val="22"/>
        </w:rPr>
        <w:t>3. Thiết lập quan hệ với các công ty bảo hiểm chính (SFA, Rawsur, SONAS)</w:t>
      </w:r>
    </w:p>
    <w:p>
      <w:r>
        <w:rPr>
          <w:rFonts w:ascii="Arial" w:hAnsi="Arial"/>
          <w:sz w:val="22"/>
        </w:rPr>
        <w:t>4. Tuân thủ yêu cầu bảo hiểm hàng nhập khẩu - sử dụng công ty bảo hiểm DRC cho tất cả lô hàng</w:t>
      </w:r>
    </w:p>
    <w:p>
      <w:r>
        <w:rPr>
          <w:rFonts w:ascii="Arial" w:hAnsi="Arial"/>
          <w:sz w:val="22"/>
        </w:rPr>
        <w:t>5. Cân nhắc bảo hiểm rủi ro chính trị do tình hình bất ổn khu vực (phí tăng 5-10 lần năm 2025)</w:t>
      </w:r>
    </w:p>
    <w:p>
      <w:r>
        <w:br w:type="page"/>
      </w:r>
    </w:p>
    <w:p>
      <w:pPr>
        <w:pStyle w:val="Heading1"/>
        <w:jc w:val="left"/>
      </w:pPr>
      <w:r>
        <w:rPr>
          <w:rFonts w:ascii="Arial" w:hAnsi="Arial"/>
          <w:color w:val="003366"/>
        </w:rPr>
        <w:t>PHẦN 2: KAZAKHSTAN</w:t>
      </w:r>
    </w:p>
    <w:p>
      <w:pPr>
        <w:pStyle w:val="Heading2"/>
        <w:jc w:val="left"/>
      </w:pPr>
      <w:r>
        <w:rPr>
          <w:rFonts w:ascii="Arial" w:hAnsi="Arial"/>
          <w:color w:val="003366"/>
        </w:rPr>
        <w:t>2.1 Khung Pháp Lý</w:t>
      </w:r>
    </w:p>
    <w:p>
      <w:r>
        <w:rPr>
          <w:rFonts w:ascii="Arial" w:hAnsi="Arial"/>
          <w:b/>
        </w:rPr>
        <w:t xml:space="preserve">Cơ quan quản lý: </w:t>
      </w:r>
      <w:r>
        <w:rPr>
          <w:rFonts w:ascii="Arial" w:hAnsi="Arial"/>
        </w:rPr>
        <w:t>ARDFM (Agency for Regulation and Development of the Financial Market) thuộc Ngân hàng Quốc gia Kazakhstan (NBK)</w:t>
      </w:r>
    </w:p>
    <w:p>
      <w:r>
        <w:rPr>
          <w:rFonts w:ascii="Arial" w:hAnsi="Arial"/>
          <w:b/>
        </w:rPr>
        <w:t xml:space="preserve">Luật chính: </w:t>
      </w:r>
      <w:r>
        <w:rPr>
          <w:rFonts w:ascii="Arial" w:hAnsi="Arial"/>
        </w:rPr>
        <w:t>Luật "Về Hoạt động Bảo hiểm" số 126-II (2000), sửa đổi tháng 1/2023</w:t>
      </w:r>
    </w:p>
    <w:p>
      <w:r>
        <w:rPr>
          <w:rFonts w:ascii="Arial" w:hAnsi="Arial"/>
          <w:b/>
        </w:rPr>
        <w:t xml:space="preserve">Thành viên EAEU: </w:t>
      </w:r>
      <w:r>
        <w:rPr>
          <w:rFonts w:ascii="Arial" w:hAnsi="Arial"/>
        </w:rPr>
        <w:t>Kazakhstan là thành viên Liên minh Kinh tế Á-Âu (cùng với Armenia, Belarus, Kyrgyzstan, Nga), nhưng vẫn yêu cầu cấp phép quốc gia riêng</w:t>
      </w:r>
    </w:p>
    <w:p/>
    <w:p>
      <w:pPr>
        <w:pStyle w:val="Heading2"/>
        <w:jc w:val="left"/>
      </w:pPr>
      <w:r>
        <w:rPr>
          <w:rFonts w:ascii="Arial" w:hAnsi="Arial"/>
          <w:color w:val="003366"/>
        </w:rPr>
        <w:t>2.2 Yêu Cầu Cấp Phép Môi Giới Nước Ngoài</w:t>
      </w:r>
    </w:p>
    <w:p>
      <w:r>
        <w:rPr>
          <w:rFonts w:ascii="Arial" w:hAnsi="Arial"/>
        </w:rPr>
        <w:t>Môi giới bảo hiểm nước ngoài có thể mở chi nhánh tại Kazakhstan thông qua cổng thông tin điện tử: www.elicense.kz</w:t>
      </w:r>
    </w:p>
    <w:p/>
    <w:p>
      <w:r>
        <w:rPr>
          <w:rFonts w:ascii="Arial" w:hAnsi="Arial"/>
          <w:b/>
        </w:rPr>
        <w:t>Hồ sơ yêu cầu:</w:t>
      </w:r>
    </w:p>
    <w:p>
      <w:pPr>
        <w:pStyle w:val="ListBullet"/>
      </w:pPr>
      <w:r>
        <w:rPr>
          <w:rFonts w:ascii="Arial" w:hAnsi="Arial"/>
          <w:sz w:val="22"/>
        </w:rPr>
        <w:t>Xác nhận bằng văn bản từ cơ quan có thẩm quyền của nước sở tại về hồ sơ sạch của người sáng lập</w:t>
      </w:r>
    </w:p>
    <w:p>
      <w:pPr>
        <w:pStyle w:val="ListBullet"/>
      </w:pPr>
      <w:r>
        <w:rPr>
          <w:rFonts w:ascii="Arial" w:hAnsi="Arial"/>
          <w:sz w:val="22"/>
        </w:rPr>
        <w:t>Bản sao giấy phép môi giới bảo hiểm hợp lệ từ nước sở tại</w:t>
      </w:r>
    </w:p>
    <w:p>
      <w:pPr>
        <w:pStyle w:val="ListBullet"/>
      </w:pPr>
      <w:r>
        <w:rPr>
          <w:rFonts w:ascii="Arial" w:hAnsi="Arial"/>
          <w:sz w:val="22"/>
        </w:rPr>
        <w:t>Hồ sơ đăng ký chi nhánh theo Điều 6-2 của Luật Kazakhstan</w:t>
      </w:r>
    </w:p>
    <w:p>
      <w:pPr>
        <w:pStyle w:val="ListBullet"/>
      </w:pPr>
      <w:r>
        <w:rPr>
          <w:rFonts w:ascii="Arial" w:hAnsi="Arial"/>
          <w:sz w:val="22"/>
        </w:rPr>
        <w:t>Xác nhận thanh toán phí cấp phép</w:t>
      </w:r>
    </w:p>
    <w:p/>
    <w:p>
      <w:pPr>
        <w:pStyle w:val="Heading2"/>
        <w:jc w:val="left"/>
      </w:pPr>
      <w:r>
        <w:rPr>
          <w:rFonts w:ascii="Arial" w:hAnsi="Arial"/>
          <w:color w:val="003366"/>
        </w:rPr>
        <w:t>2.3 Bảo Hiểm Bắt Buộc</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rFonts w:ascii="Arial" w:hAnsi="Arial"/>
                <w:b/>
                <w:sz w:val="20"/>
              </w:rPr>
              <w:t>Loại bảo hiểm</w:t>
            </w:r>
          </w:p>
        </w:tc>
        <w:tc>
          <w:tcPr>
            <w:tcW w:type="dxa" w:w="1728"/>
          </w:tcPr>
          <w:p>
            <w:r>
              <w:rPr>
                <w:rFonts w:ascii="Arial" w:hAnsi="Arial"/>
                <w:b/>
                <w:sz w:val="20"/>
              </w:rPr>
              <w:t>Cơ sở pháp lý</w:t>
            </w:r>
          </w:p>
        </w:tc>
        <w:tc>
          <w:tcPr>
            <w:tcW w:type="dxa" w:w="1728"/>
          </w:tcPr>
          <w:p>
            <w:r>
              <w:rPr>
                <w:rFonts w:ascii="Arial" w:hAnsi="Arial"/>
                <w:b/>
                <w:sz w:val="20"/>
              </w:rPr>
              <w:t>Phạm vi bảo hiểm</w:t>
            </w:r>
          </w:p>
        </w:tc>
        <w:tc>
          <w:tcPr>
            <w:tcW w:type="dxa" w:w="1728"/>
          </w:tcPr>
          <w:p>
            <w:r>
              <w:rPr>
                <w:rFonts w:ascii="Arial" w:hAnsi="Arial"/>
                <w:b/>
                <w:sz w:val="20"/>
              </w:rPr>
              <w:t>Đối tượng bắt buộc</w:t>
            </w:r>
          </w:p>
        </w:tc>
        <w:tc>
          <w:tcPr>
            <w:tcW w:type="dxa" w:w="1728"/>
          </w:tcPr>
          <w:p>
            <w:r>
              <w:rPr>
                <w:rFonts w:ascii="Arial" w:hAnsi="Arial"/>
                <w:b/>
                <w:sz w:val="20"/>
              </w:rPr>
              <w:t>Thời hạn</w:t>
            </w:r>
          </w:p>
        </w:tc>
      </w:tr>
      <w:tr>
        <w:tc>
          <w:tcPr>
            <w:tcW w:type="dxa" w:w="1728"/>
          </w:tcPr>
          <w:p>
            <w:r>
              <w:rPr>
                <w:rFonts w:ascii="Arial" w:hAnsi="Arial"/>
                <w:sz w:val="20"/>
              </w:rPr>
              <w:t>OSAGO (Xe cơ giới)</w:t>
            </w:r>
          </w:p>
        </w:tc>
        <w:tc>
          <w:tcPr>
            <w:tcW w:type="dxa" w:w="1728"/>
          </w:tcPr>
          <w:p>
            <w:r>
              <w:rPr>
                <w:rFonts w:ascii="Arial" w:hAnsi="Arial"/>
                <w:sz w:val="20"/>
              </w:rPr>
              <w:t>Luật 446-II (2003)</w:t>
            </w:r>
          </w:p>
        </w:tc>
        <w:tc>
          <w:tcPr>
            <w:tcW w:type="dxa" w:w="1728"/>
          </w:tcPr>
          <w:p>
            <w:r>
              <w:rPr>
                <w:rFonts w:ascii="Arial" w:hAnsi="Arial"/>
                <w:sz w:val="20"/>
              </w:rPr>
              <w:t>Trách nhiệm dân sự bên thứ ba</w:t>
            </w:r>
          </w:p>
        </w:tc>
        <w:tc>
          <w:tcPr>
            <w:tcW w:type="dxa" w:w="1728"/>
          </w:tcPr>
          <w:p>
            <w:r>
              <w:rPr>
                <w:rFonts w:ascii="Arial" w:hAnsi="Arial"/>
                <w:sz w:val="20"/>
              </w:rPr>
              <w:t>Tất cả chủ xe</w:t>
            </w:r>
          </w:p>
        </w:tc>
        <w:tc>
          <w:tcPr>
            <w:tcW w:type="dxa" w:w="1728"/>
          </w:tcPr>
          <w:p>
            <w:r>
              <w:rPr>
                <w:rFonts w:ascii="Arial" w:hAnsi="Arial"/>
                <w:sz w:val="20"/>
              </w:rPr>
              <w:t>12 tháng</w:t>
            </w:r>
          </w:p>
        </w:tc>
      </w:tr>
      <w:tr>
        <w:tc>
          <w:tcPr>
            <w:tcW w:type="dxa" w:w="1728"/>
          </w:tcPr>
          <w:p>
            <w:r>
              <w:rPr>
                <w:rFonts w:ascii="Arial" w:hAnsi="Arial"/>
                <w:sz w:val="20"/>
              </w:rPr>
              <w:t>Tai nạn nghề nghiệp</w:t>
            </w:r>
          </w:p>
        </w:tc>
        <w:tc>
          <w:tcPr>
            <w:tcW w:type="dxa" w:w="1728"/>
          </w:tcPr>
          <w:p>
            <w:r>
              <w:rPr>
                <w:rFonts w:ascii="Arial" w:hAnsi="Arial"/>
                <w:sz w:val="20"/>
              </w:rPr>
              <w:t>Luật 30 (2005)</w:t>
            </w:r>
          </w:p>
        </w:tc>
        <w:tc>
          <w:tcPr>
            <w:tcW w:type="dxa" w:w="1728"/>
          </w:tcPr>
          <w:p>
            <w:r>
              <w:rPr>
                <w:rFonts w:ascii="Arial" w:hAnsi="Arial"/>
                <w:sz w:val="20"/>
              </w:rPr>
              <w:t>30-100% mất năng lực</w:t>
            </w:r>
          </w:p>
        </w:tc>
        <w:tc>
          <w:tcPr>
            <w:tcW w:type="dxa" w:w="1728"/>
          </w:tcPr>
          <w:p>
            <w:r>
              <w:rPr>
                <w:rFonts w:ascii="Arial" w:hAnsi="Arial"/>
                <w:sz w:val="20"/>
              </w:rPr>
              <w:t>Tất cả nhà tuyển dụng</w:t>
            </w:r>
          </w:p>
        </w:tc>
        <w:tc>
          <w:tcPr>
            <w:tcW w:type="dxa" w:w="1728"/>
          </w:tcPr>
          <w:p>
            <w:r>
              <w:rPr>
                <w:rFonts w:ascii="Arial" w:hAnsi="Arial"/>
                <w:sz w:val="20"/>
              </w:rPr>
              <w:t>Theo lương</w:t>
            </w:r>
          </w:p>
        </w:tc>
      </w:tr>
      <w:tr>
        <w:tc>
          <w:tcPr>
            <w:tcW w:type="dxa" w:w="1728"/>
          </w:tcPr>
          <w:p>
            <w:r>
              <w:rPr>
                <w:rFonts w:ascii="Arial" w:hAnsi="Arial"/>
                <w:sz w:val="20"/>
              </w:rPr>
              <w:t>Trách nhiệm môi trường</w:t>
            </w:r>
          </w:p>
        </w:tc>
        <w:tc>
          <w:tcPr>
            <w:tcW w:type="dxa" w:w="1728"/>
          </w:tcPr>
          <w:p>
            <w:r>
              <w:rPr>
                <w:rFonts w:ascii="Arial" w:hAnsi="Arial"/>
                <w:sz w:val="20"/>
              </w:rPr>
              <w:t>Bộ luật Môi trường</w:t>
            </w:r>
          </w:p>
        </w:tc>
        <w:tc>
          <w:tcPr>
            <w:tcW w:type="dxa" w:w="1728"/>
          </w:tcPr>
          <w:p>
            <w:r>
              <w:rPr>
                <w:rFonts w:ascii="Arial" w:hAnsi="Arial"/>
                <w:sz w:val="20"/>
              </w:rPr>
              <w:t>Thiệt hại môi trường</w:t>
            </w:r>
          </w:p>
        </w:tc>
        <w:tc>
          <w:tcPr>
            <w:tcW w:type="dxa" w:w="1728"/>
          </w:tcPr>
          <w:p>
            <w:r>
              <w:rPr>
                <w:rFonts w:ascii="Arial" w:hAnsi="Arial"/>
                <w:sz w:val="20"/>
              </w:rPr>
              <w:t>Cơ sở Loại I (≥1,000 tấn khí thải)</w:t>
            </w:r>
          </w:p>
        </w:tc>
        <w:tc>
          <w:tcPr>
            <w:tcW w:type="dxa" w:w="1728"/>
          </w:tcPr>
          <w:p>
            <w:r>
              <w:rPr>
                <w:rFonts w:ascii="Arial" w:hAnsi="Arial"/>
                <w:sz w:val="20"/>
              </w:rPr>
              <w:t>12 tháng</w:t>
            </w:r>
          </w:p>
        </w:tc>
      </w:tr>
    </w:tbl>
    <w:p/>
    <w:p>
      <w:pPr>
        <w:pStyle w:val="Heading2"/>
        <w:jc w:val="left"/>
      </w:pPr>
      <w:r>
        <w:rPr>
          <w:rFonts w:ascii="Arial" w:hAnsi="Arial"/>
          <w:color w:val="003366"/>
        </w:rPr>
        <w:t>2.4 Thị Trường EV và Cơ Hội</w:t>
      </w:r>
    </w:p>
    <w:p>
      <w:r>
        <w:rPr>
          <w:rFonts w:ascii="Arial" w:hAnsi="Arial"/>
          <w:b/>
        </w:rPr>
        <w:t xml:space="preserve">Quy mô thị trường EV: </w:t>
      </w:r>
      <w:r>
        <w:rPr>
          <w:rFonts w:ascii="Arial" w:hAnsi="Arial"/>
        </w:rPr>
        <w:t>Hơn 19,000 xe điện đã đăng ký (H1 2025), tăng trưởng nhanh</w:t>
      </w:r>
    </w:p>
    <w:p>
      <w:r>
        <w:rPr>
          <w:rFonts w:ascii="Arial" w:hAnsi="Arial"/>
          <w:b/>
        </w:rPr>
        <w:t xml:space="preserve">Hỗ trợ của chính phủ: </w:t>
      </w:r>
      <w:r>
        <w:rPr>
          <w:rFonts w:ascii="Arial" w:hAnsi="Arial"/>
        </w:rPr>
        <w:t>Miễn thuế giao thông đến 31/12/2025, trợ cấp đầu tư 30% cho dự án cọc sạc, đảm bảo lợi nhuận tối thiểu 8%</w:t>
      </w:r>
    </w:p>
    <w:p>
      <w:r>
        <w:rPr>
          <w:rFonts w:ascii="Arial" w:hAnsi="Arial"/>
          <w:b/>
        </w:rPr>
        <w:t xml:space="preserve">Dự báo 2030: </w:t>
      </w:r>
      <w:r>
        <w:rPr>
          <w:rFonts w:ascii="Arial" w:hAnsi="Arial"/>
        </w:rPr>
        <w:t>78,000-120,000 xe điện (12% đội xe quốc gia), cần 4,000-8,000 điểm sạc</w:t>
      </w:r>
    </w:p>
    <w:p/>
    <w:p>
      <w:pPr>
        <w:pStyle w:val="Heading2"/>
        <w:jc w:val="left"/>
      </w:pPr>
      <w:r>
        <w:rPr>
          <w:rFonts w:ascii="Arial" w:hAnsi="Arial"/>
          <w:color w:val="003366"/>
        </w:rPr>
        <w:t>2.5 Các Công Ty Bảo Hiểm Lớn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rFonts w:ascii="Arial" w:hAnsi="Arial"/>
                <w:b/>
                <w:sz w:val="20"/>
              </w:rPr>
              <w:t>Công ty</w:t>
            </w:r>
          </w:p>
        </w:tc>
        <w:tc>
          <w:tcPr>
            <w:tcW w:type="dxa" w:w="2880"/>
          </w:tcPr>
          <w:p>
            <w:r>
              <w:rPr>
                <w:rFonts w:ascii="Arial" w:hAnsi="Arial"/>
                <w:b/>
                <w:sz w:val="20"/>
              </w:rPr>
              <w:t>Doanh thu (2025)</w:t>
            </w:r>
          </w:p>
        </w:tc>
        <w:tc>
          <w:tcPr>
            <w:tcW w:type="dxa" w:w="2880"/>
          </w:tcPr>
          <w:p>
            <w:r>
              <w:rPr>
                <w:rFonts w:ascii="Arial" w:hAnsi="Arial"/>
                <w:b/>
                <w:sz w:val="20"/>
              </w:rPr>
              <w:t>Ghi chú</w:t>
            </w:r>
          </w:p>
        </w:tc>
      </w:tr>
      <w:tr>
        <w:tc>
          <w:tcPr>
            <w:tcW w:type="dxa" w:w="2880"/>
          </w:tcPr>
          <w:p>
            <w:r>
              <w:rPr>
                <w:rFonts w:ascii="Arial" w:hAnsi="Arial"/>
                <w:sz w:val="20"/>
              </w:rPr>
              <w:t>IC Centras Insurance JSC</w:t>
            </w:r>
          </w:p>
        </w:tc>
        <w:tc>
          <w:tcPr>
            <w:tcW w:type="dxa" w:w="2880"/>
          </w:tcPr>
          <w:p>
            <w:r>
              <w:rPr>
                <w:rFonts w:ascii="Arial" w:hAnsi="Arial"/>
                <w:sz w:val="20"/>
              </w:rPr>
              <w:t>$67.8M</w:t>
            </w:r>
          </w:p>
        </w:tc>
        <w:tc>
          <w:tcPr>
            <w:tcW w:type="dxa" w:w="2880"/>
          </w:tcPr>
          <w:p>
            <w:r>
              <w:rPr>
                <w:rFonts w:ascii="Arial" w:hAnsi="Arial"/>
                <w:sz w:val="20"/>
              </w:rPr>
              <w:t>Công ty dẫn đầu thị trường</w:t>
            </w:r>
          </w:p>
        </w:tc>
      </w:tr>
      <w:tr>
        <w:tc>
          <w:tcPr>
            <w:tcW w:type="dxa" w:w="2880"/>
          </w:tcPr>
          <w:p>
            <w:r>
              <w:rPr>
                <w:rFonts w:ascii="Arial" w:hAnsi="Arial"/>
                <w:sz w:val="20"/>
              </w:rPr>
              <w:t>JSC Eurasia Insurance</w:t>
            </w:r>
          </w:p>
        </w:tc>
        <w:tc>
          <w:tcPr>
            <w:tcW w:type="dxa" w:w="2880"/>
          </w:tcPr>
          <w:p>
            <w:r>
              <w:rPr>
                <w:rFonts w:ascii="Arial" w:hAnsi="Arial"/>
                <w:sz w:val="20"/>
              </w:rPr>
              <w:t>$46.7M</w:t>
            </w:r>
          </w:p>
        </w:tc>
        <w:tc>
          <w:tcPr>
            <w:tcW w:type="dxa" w:w="2880"/>
          </w:tcPr>
          <w:p>
            <w:r>
              <w:rPr>
                <w:rFonts w:ascii="Arial" w:hAnsi="Arial"/>
                <w:sz w:val="20"/>
              </w:rPr>
              <w:t>Công ty phi nhân thọ mạnh</w:t>
            </w:r>
          </w:p>
        </w:tc>
      </w:tr>
      <w:tr>
        <w:tc>
          <w:tcPr>
            <w:tcW w:type="dxa" w:w="2880"/>
          </w:tcPr>
          <w:p>
            <w:r>
              <w:rPr>
                <w:rFonts w:ascii="Arial" w:hAnsi="Arial"/>
                <w:sz w:val="20"/>
              </w:rPr>
              <w:t>Halyk Insurance Company JSC</w:t>
            </w:r>
          </w:p>
        </w:tc>
        <w:tc>
          <w:tcPr>
            <w:tcW w:type="dxa" w:w="2880"/>
          </w:tcPr>
          <w:p>
            <w:r>
              <w:rPr>
                <w:rFonts w:ascii="Arial" w:hAnsi="Arial"/>
                <w:sz w:val="20"/>
              </w:rPr>
              <w:t>$31.1M</w:t>
            </w:r>
          </w:p>
        </w:tc>
        <w:tc>
          <w:tcPr>
            <w:tcW w:type="dxa" w:w="2880"/>
          </w:tcPr>
          <w:p>
            <w:r>
              <w:rPr>
                <w:rFonts w:ascii="Arial" w:hAnsi="Arial"/>
                <w:sz w:val="20"/>
              </w:rPr>
              <w:t>Thuộc tập đoàn Ngân hàng Halyk</w:t>
            </w:r>
          </w:p>
        </w:tc>
      </w:tr>
    </w:tbl>
    <w:p/>
    <w:p>
      <w:pPr>
        <w:pStyle w:val="Heading2"/>
        <w:jc w:val="left"/>
      </w:pPr>
      <w:r>
        <w:rPr>
          <w:rFonts w:ascii="Arial" w:hAnsi="Arial"/>
          <w:color w:val="003366"/>
        </w:rPr>
        <w:t>2.6 Khuyến Nghị cho Vinfast/BeeVN tại Kazakhstan</w:t>
      </w:r>
    </w:p>
    <w:p>
      <w:r>
        <w:rPr>
          <w:rFonts w:ascii="Arial" w:hAnsi="Arial"/>
          <w:sz w:val="22"/>
        </w:rPr>
        <w:t>1. Xin xác nhận từ cơ quan quản lý bảo hiểm Việt Nam về giấy phép hợp lệ và hồ sơ sạch</w:t>
      </w:r>
    </w:p>
    <w:p>
      <w:r>
        <w:rPr>
          <w:rFonts w:ascii="Arial" w:hAnsi="Arial"/>
          <w:sz w:val="22"/>
        </w:rPr>
        <w:t>2. Bắt đầu đăng ký trên cổng thông tin e-licensing tại www.elicense.kz</w:t>
      </w:r>
    </w:p>
    <w:p>
      <w:r>
        <w:rPr>
          <w:rFonts w:ascii="Arial" w:hAnsi="Arial"/>
          <w:sz w:val="22"/>
        </w:rPr>
        <w:t>3. Thuê tư vấn pháp lý địa phương chuyên về luật bảo hiểm</w:t>
      </w:r>
    </w:p>
    <w:p>
      <w:r>
        <w:rPr>
          <w:rFonts w:ascii="Arial" w:hAnsi="Arial"/>
          <w:sz w:val="22"/>
        </w:rPr>
        <w:t>4. Phỏng vấn các công ty bảo hiểm chính (IC Centras, Eurasia, Halyk) về sản phẩm bảo hiểm EV</w:t>
      </w:r>
    </w:p>
    <w:p>
      <w:r>
        <w:rPr>
          <w:rFonts w:ascii="Arial" w:hAnsi="Arial"/>
          <w:sz w:val="22"/>
        </w:rPr>
        <w:t>5. Định vị là chuyên gia bảo hiểm EV - thị trường chưa phát triển, cơ hội lớn cho chuyên môn hóa</w:t>
      </w:r>
    </w:p>
    <w:p>
      <w:r>
        <w:rPr>
          <w:rFonts w:ascii="Arial" w:hAnsi="Arial"/>
          <w:sz w:val="22"/>
        </w:rPr>
        <w:t>6. Mua bảo hiểm trách nhiệm nghề nghiệp (yêu cầu từ tháng 1/2025)</w:t>
      </w:r>
    </w:p>
    <w:p>
      <w:r>
        <w:br w:type="page"/>
      </w:r>
    </w:p>
    <w:p>
      <w:pPr>
        <w:pStyle w:val="Heading1"/>
        <w:jc w:val="left"/>
      </w:pPr>
      <w:r>
        <w:rPr>
          <w:rFonts w:ascii="Arial" w:hAnsi="Arial"/>
          <w:color w:val="003366"/>
        </w:rPr>
        <w:t>PHẦN 3: PHILIPPINES</w:t>
      </w:r>
    </w:p>
    <w:p>
      <w:pPr>
        <w:pStyle w:val="Heading2"/>
        <w:jc w:val="left"/>
      </w:pPr>
      <w:r>
        <w:rPr>
          <w:rFonts w:ascii="Arial" w:hAnsi="Arial"/>
          <w:color w:val="003366"/>
        </w:rPr>
        <w:t>3.1 Khung Pháp Lý</w:t>
      </w:r>
    </w:p>
    <w:p>
      <w:r>
        <w:rPr>
          <w:rFonts w:ascii="Arial" w:hAnsi="Arial"/>
          <w:b/>
        </w:rPr>
        <w:t xml:space="preserve">Cơ quan quản lý: </w:t>
      </w:r>
      <w:r>
        <w:rPr>
          <w:rFonts w:ascii="Arial" w:hAnsi="Arial"/>
        </w:rPr>
        <w:t>Insurance Commission (IC) thuộc Bộ Tài chính</w:t>
      </w:r>
    </w:p>
    <w:p>
      <w:r>
        <w:rPr>
          <w:rFonts w:ascii="Arial" w:hAnsi="Arial"/>
          <w:b/>
        </w:rPr>
        <w:t xml:space="preserve">Luật chính: </w:t>
      </w:r>
      <w:r>
        <w:rPr>
          <w:rFonts w:ascii="Arial" w:hAnsi="Arial"/>
        </w:rPr>
        <w:t>Bộ luật Bảo hiểm (PD 612, sửa đổi bởi RA 10607 năm 2013)</w:t>
      </w:r>
    </w:p>
    <w:p>
      <w:r>
        <w:rPr>
          <w:rFonts w:ascii="Arial" w:hAnsi="Arial"/>
          <w:b/>
        </w:rPr>
        <w:t xml:space="preserve">Sở hữu nước ngoài: </w:t>
      </w:r>
      <w:r>
        <w:rPr>
          <w:rFonts w:ascii="Arial" w:hAnsi="Arial"/>
        </w:rPr>
        <w:t>100% sở hữu nước ngoài được phép (RA 10881)</w:t>
      </w:r>
    </w:p>
    <w:p/>
    <w:p>
      <w:pPr>
        <w:pStyle w:val="Heading2"/>
        <w:jc w:val="left"/>
      </w:pPr>
      <w:r>
        <w:rPr>
          <w:rFonts w:ascii="Arial" w:hAnsi="Arial"/>
          <w:color w:val="003366"/>
        </w:rPr>
        <w:t>3.2 Yêu Cầu Cấp Phép Môi Giới</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b/>
                <w:sz w:val="20"/>
              </w:rPr>
              <w:t>Loại môi giới</w:t>
            </w:r>
          </w:p>
        </w:tc>
        <w:tc>
          <w:tcPr>
            <w:tcW w:type="dxa" w:w="2160"/>
          </w:tcPr>
          <w:p>
            <w:r>
              <w:rPr>
                <w:rFonts w:ascii="Arial" w:hAnsi="Arial"/>
                <w:b/>
                <w:sz w:val="20"/>
              </w:rPr>
              <w:t>Vốn điều lệ tối thiểu</w:t>
            </w:r>
          </w:p>
        </w:tc>
        <w:tc>
          <w:tcPr>
            <w:tcW w:type="dxa" w:w="2160"/>
          </w:tcPr>
          <w:p>
            <w:r>
              <w:rPr>
                <w:rFonts w:ascii="Arial" w:hAnsi="Arial"/>
                <w:b/>
                <w:sz w:val="20"/>
              </w:rPr>
              <w:t>Giá trị tài sản ròng</w:t>
            </w:r>
          </w:p>
        </w:tc>
        <w:tc>
          <w:tcPr>
            <w:tcW w:type="dxa" w:w="2160"/>
          </w:tcPr>
          <w:p>
            <w:r>
              <w:rPr>
                <w:rFonts w:ascii="Arial" w:hAnsi="Arial"/>
                <w:b/>
                <w:sz w:val="20"/>
              </w:rPr>
              <w:t>Cán bộ môi giới đủ tiêu chuẩn</w:t>
            </w:r>
          </w:p>
        </w:tc>
      </w:tr>
      <w:tr>
        <w:tc>
          <w:tcPr>
            <w:tcW w:type="dxa" w:w="2160"/>
          </w:tcPr>
          <w:p>
            <w:r>
              <w:rPr>
                <w:rFonts w:ascii="Arial" w:hAnsi="Arial"/>
                <w:sz w:val="20"/>
              </w:rPr>
              <w:t>Môi giới bảo hiểm</w:t>
            </w:r>
          </w:p>
        </w:tc>
        <w:tc>
          <w:tcPr>
            <w:tcW w:type="dxa" w:w="2160"/>
          </w:tcPr>
          <w:p>
            <w:r>
              <w:rPr>
                <w:rFonts w:ascii="Arial" w:hAnsi="Arial"/>
                <w:sz w:val="20"/>
              </w:rPr>
              <w:t>PHP 20 triệu</w:t>
            </w:r>
          </w:p>
        </w:tc>
        <w:tc>
          <w:tcPr>
            <w:tcW w:type="dxa" w:w="2160"/>
          </w:tcPr>
          <w:p>
            <w:r>
              <w:rPr>
                <w:rFonts w:ascii="Arial" w:hAnsi="Arial"/>
                <w:sz w:val="20"/>
              </w:rPr>
              <w:t>PHP 20 triệu</w:t>
            </w:r>
          </w:p>
        </w:tc>
        <w:tc>
          <w:tcPr>
            <w:tcW w:type="dxa" w:w="2160"/>
          </w:tcPr>
          <w:p>
            <w:r>
              <w:rPr>
                <w:rFonts w:ascii="Arial" w:hAnsi="Arial"/>
                <w:sz w:val="20"/>
              </w:rPr>
              <w:t>Có</w:t>
            </w:r>
          </w:p>
        </w:tc>
      </w:tr>
      <w:tr>
        <w:tc>
          <w:tcPr>
            <w:tcW w:type="dxa" w:w="2160"/>
          </w:tcPr>
          <w:p>
            <w:r>
              <w:rPr>
                <w:rFonts w:ascii="Arial" w:hAnsi="Arial"/>
                <w:sz w:val="20"/>
              </w:rPr>
              <w:t>Môi giới bảo hiểm + tái bảo hiểm</w:t>
            </w:r>
          </w:p>
        </w:tc>
        <w:tc>
          <w:tcPr>
            <w:tcW w:type="dxa" w:w="2160"/>
          </w:tcPr>
          <w:p>
            <w:r>
              <w:rPr>
                <w:rFonts w:ascii="Arial" w:hAnsi="Arial"/>
                <w:sz w:val="20"/>
              </w:rPr>
              <w:t>PHP 50 triệu</w:t>
            </w:r>
          </w:p>
        </w:tc>
        <w:tc>
          <w:tcPr>
            <w:tcW w:type="dxa" w:w="2160"/>
          </w:tcPr>
          <w:p>
            <w:r>
              <w:rPr>
                <w:rFonts w:ascii="Arial" w:hAnsi="Arial"/>
                <w:sz w:val="20"/>
              </w:rPr>
              <w:t>PHP 50 triệu</w:t>
            </w:r>
          </w:p>
        </w:tc>
        <w:tc>
          <w:tcPr>
            <w:tcW w:type="dxa" w:w="2160"/>
          </w:tcPr>
          <w:p>
            <w:r>
              <w:rPr>
                <w:rFonts w:ascii="Arial" w:hAnsi="Arial"/>
                <w:sz w:val="20"/>
              </w:rPr>
              <w:t>Có</w:t>
            </w:r>
          </w:p>
        </w:tc>
      </w:tr>
    </w:tbl>
    <w:p/>
    <w:p>
      <w:r>
        <w:rPr>
          <w:rFonts w:ascii="Arial" w:hAnsi="Arial"/>
          <w:b/>
        </w:rPr>
        <w:t xml:space="preserve">Thời hạn giấy phép: </w:t>
      </w:r>
      <w:r>
        <w:rPr>
          <w:rFonts w:ascii="Arial" w:hAnsi="Arial"/>
        </w:rPr>
        <w:t>Gia hạn mỗi 3 năm</w:t>
      </w:r>
    </w:p>
    <w:p/>
    <w:p>
      <w:pPr>
        <w:pStyle w:val="Heading2"/>
        <w:jc w:val="left"/>
      </w:pPr>
      <w:r>
        <w:rPr>
          <w:rFonts w:ascii="Arial" w:hAnsi="Arial"/>
          <w:color w:val="003366"/>
        </w:rPr>
        <w:t>3.3 Bảo Hiểm Bắt Buộc</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rFonts w:ascii="Arial" w:hAnsi="Arial"/>
                <w:b/>
                <w:sz w:val="20"/>
              </w:rPr>
              <w:t>Loại bảo hiểm</w:t>
            </w:r>
          </w:p>
        </w:tc>
        <w:tc>
          <w:tcPr>
            <w:tcW w:type="dxa" w:w="1728"/>
          </w:tcPr>
          <w:p>
            <w:r>
              <w:rPr>
                <w:rFonts w:ascii="Arial" w:hAnsi="Arial"/>
                <w:b/>
                <w:sz w:val="20"/>
              </w:rPr>
              <w:t>Cơ sở pháp lý</w:t>
            </w:r>
          </w:p>
        </w:tc>
        <w:tc>
          <w:tcPr>
            <w:tcW w:type="dxa" w:w="1728"/>
          </w:tcPr>
          <w:p>
            <w:r>
              <w:rPr>
                <w:rFonts w:ascii="Arial" w:hAnsi="Arial"/>
                <w:b/>
                <w:sz w:val="20"/>
              </w:rPr>
              <w:t>Phạm vi bảo hiểm</w:t>
            </w:r>
          </w:p>
        </w:tc>
        <w:tc>
          <w:tcPr>
            <w:tcW w:type="dxa" w:w="1728"/>
          </w:tcPr>
          <w:p>
            <w:r>
              <w:rPr>
                <w:rFonts w:ascii="Arial" w:hAnsi="Arial"/>
                <w:b/>
                <w:sz w:val="20"/>
              </w:rPr>
              <w:t>Đối tượng bắt buộc</w:t>
            </w:r>
          </w:p>
        </w:tc>
        <w:tc>
          <w:tcPr>
            <w:tcW w:type="dxa" w:w="1728"/>
          </w:tcPr>
          <w:p>
            <w:r>
              <w:rPr>
                <w:rFonts w:ascii="Arial" w:hAnsi="Arial"/>
                <w:b/>
                <w:sz w:val="20"/>
              </w:rPr>
              <w:t>Thời hạn</w:t>
            </w:r>
          </w:p>
        </w:tc>
      </w:tr>
      <w:tr>
        <w:tc>
          <w:tcPr>
            <w:tcW w:type="dxa" w:w="1728"/>
          </w:tcPr>
          <w:p>
            <w:r>
              <w:rPr>
                <w:rFonts w:ascii="Arial" w:hAnsi="Arial"/>
                <w:sz w:val="20"/>
              </w:rPr>
              <w:t>CTPL (Xe cơ giới)</w:t>
            </w:r>
          </w:p>
        </w:tc>
        <w:tc>
          <w:tcPr>
            <w:tcW w:type="dxa" w:w="1728"/>
          </w:tcPr>
          <w:p>
            <w:r>
              <w:rPr>
                <w:rFonts w:ascii="Arial" w:hAnsi="Arial"/>
                <w:sz w:val="20"/>
              </w:rPr>
              <w:t>Điều 374 Bộ luật Bảo hiểm</w:t>
            </w:r>
          </w:p>
        </w:tc>
        <w:tc>
          <w:tcPr>
            <w:tcW w:type="dxa" w:w="1728"/>
          </w:tcPr>
          <w:p>
            <w:r>
              <w:rPr>
                <w:rFonts w:ascii="Arial" w:hAnsi="Arial"/>
                <w:sz w:val="20"/>
              </w:rPr>
              <w:t>PHP 200,000 (tăng từ PHP 100,000 năm 2024)</w:t>
            </w:r>
          </w:p>
        </w:tc>
        <w:tc>
          <w:tcPr>
            <w:tcW w:type="dxa" w:w="1728"/>
          </w:tcPr>
          <w:p>
            <w:r>
              <w:rPr>
                <w:rFonts w:ascii="Arial" w:hAnsi="Arial"/>
                <w:sz w:val="20"/>
              </w:rPr>
              <w:t>Tất cả chủ xe</w:t>
            </w:r>
          </w:p>
        </w:tc>
        <w:tc>
          <w:tcPr>
            <w:tcW w:type="dxa" w:w="1728"/>
          </w:tcPr>
          <w:p>
            <w:r>
              <w:rPr>
                <w:rFonts w:ascii="Arial" w:hAnsi="Arial"/>
                <w:sz w:val="20"/>
              </w:rPr>
              <w:t>Hàng năm</w:t>
            </w:r>
          </w:p>
        </w:tc>
      </w:tr>
      <w:tr>
        <w:tc>
          <w:tcPr>
            <w:tcW w:type="dxa" w:w="1728"/>
          </w:tcPr>
          <w:p>
            <w:r>
              <w:rPr>
                <w:rFonts w:ascii="Arial" w:hAnsi="Arial"/>
                <w:sz w:val="20"/>
              </w:rPr>
              <w:t>PAMI (PUV)</w:t>
            </w:r>
          </w:p>
        </w:tc>
        <w:tc>
          <w:tcPr>
            <w:tcW w:type="dxa" w:w="1728"/>
          </w:tcPr>
          <w:p>
            <w:r>
              <w:rPr>
                <w:rFonts w:ascii="Arial" w:hAnsi="Arial"/>
                <w:sz w:val="20"/>
              </w:rPr>
              <w:t>LTFRB MC 2015-028</w:t>
            </w:r>
          </w:p>
        </w:tc>
        <w:tc>
          <w:tcPr>
            <w:tcW w:type="dxa" w:w="1728"/>
          </w:tcPr>
          <w:p>
            <w:r>
              <w:rPr>
                <w:rFonts w:ascii="Arial" w:hAnsi="Arial"/>
                <w:sz w:val="20"/>
              </w:rPr>
              <w:t>PHP 200,000 tử vong, PHP 2,000-400,000 thương tích</w:t>
            </w:r>
          </w:p>
        </w:tc>
        <w:tc>
          <w:tcPr>
            <w:tcW w:type="dxa" w:w="1728"/>
          </w:tcPr>
          <w:p>
            <w:r>
              <w:rPr>
                <w:rFonts w:ascii="Arial" w:hAnsi="Arial"/>
                <w:sz w:val="20"/>
              </w:rPr>
              <w:t>Xe công cộng</w:t>
            </w:r>
          </w:p>
        </w:tc>
        <w:tc>
          <w:tcPr>
            <w:tcW w:type="dxa" w:w="1728"/>
          </w:tcPr>
          <w:p>
            <w:r>
              <w:rPr>
                <w:rFonts w:ascii="Arial" w:hAnsi="Arial"/>
                <w:sz w:val="20"/>
              </w:rPr>
              <w:t>Hàng năm</w:t>
            </w:r>
          </w:p>
        </w:tc>
      </w:tr>
      <w:tr>
        <w:tc>
          <w:tcPr>
            <w:tcW w:type="dxa" w:w="1728"/>
          </w:tcPr>
          <w:p>
            <w:r>
              <w:rPr>
                <w:rFonts w:ascii="Arial" w:hAnsi="Arial"/>
                <w:sz w:val="20"/>
              </w:rPr>
              <w:t>Bảo hiểm cháy</w:t>
            </w:r>
          </w:p>
        </w:tc>
        <w:tc>
          <w:tcPr>
            <w:tcW w:type="dxa" w:w="1728"/>
          </w:tcPr>
          <w:p>
            <w:r>
              <w:rPr>
                <w:rFonts w:ascii="Arial" w:hAnsi="Arial"/>
                <w:sz w:val="20"/>
              </w:rPr>
              <w:t>Yêu cầu LGU</w:t>
            </w:r>
          </w:p>
        </w:tc>
        <w:tc>
          <w:tcPr>
            <w:tcW w:type="dxa" w:w="1728"/>
          </w:tcPr>
          <w:p>
            <w:r>
              <w:rPr>
                <w:rFonts w:ascii="Arial" w:hAnsi="Arial"/>
                <w:sz w:val="20"/>
              </w:rPr>
              <w:t>Theo chính sách</w:t>
            </w:r>
          </w:p>
        </w:tc>
        <w:tc>
          <w:tcPr>
            <w:tcW w:type="dxa" w:w="1728"/>
          </w:tcPr>
          <w:p>
            <w:r>
              <w:rPr>
                <w:rFonts w:ascii="Arial" w:hAnsi="Arial"/>
                <w:sz w:val="20"/>
              </w:rPr>
              <w:t>Doanh nghiệp (giấy phép kinh doanh)</w:t>
            </w:r>
          </w:p>
        </w:tc>
        <w:tc>
          <w:tcPr>
            <w:tcW w:type="dxa" w:w="1728"/>
          </w:tcPr>
          <w:p>
            <w:r>
              <w:rPr>
                <w:rFonts w:ascii="Arial" w:hAnsi="Arial"/>
                <w:sz w:val="20"/>
              </w:rPr>
              <w:t>Theo yêu cầu</w:t>
            </w:r>
          </w:p>
        </w:tc>
      </w:tr>
      <w:tr>
        <w:tc>
          <w:tcPr>
            <w:tcW w:type="dxa" w:w="1728"/>
          </w:tcPr>
          <w:p>
            <w:r>
              <w:rPr>
                <w:rFonts w:ascii="Arial" w:hAnsi="Arial"/>
                <w:sz w:val="20"/>
              </w:rPr>
              <w:t>Hàng hải/Hàng hóa</w:t>
            </w:r>
          </w:p>
        </w:tc>
        <w:tc>
          <w:tcPr>
            <w:tcW w:type="dxa" w:w="1728"/>
          </w:tcPr>
          <w:p>
            <w:r>
              <w:rPr>
                <w:rFonts w:ascii="Arial" w:hAnsi="Arial"/>
                <w:sz w:val="20"/>
              </w:rPr>
              <w:t>Điều 92 Đạo luật Bảo hiểm</w:t>
            </w:r>
          </w:p>
        </w:tc>
        <w:tc>
          <w:tcPr>
            <w:tcW w:type="dxa" w:w="1728"/>
          </w:tcPr>
          <w:p>
            <w:r>
              <w:rPr>
                <w:rFonts w:ascii="Arial" w:hAnsi="Arial"/>
                <w:sz w:val="20"/>
              </w:rPr>
              <w:t>Theo hàng hóa</w:t>
            </w:r>
          </w:p>
        </w:tc>
        <w:tc>
          <w:tcPr>
            <w:tcW w:type="dxa" w:w="1728"/>
          </w:tcPr>
          <w:p>
            <w:r>
              <w:rPr>
                <w:rFonts w:ascii="Arial" w:hAnsi="Arial"/>
                <w:sz w:val="20"/>
              </w:rPr>
              <w:t>Nhập khẩu/Xuất khẩu (CIF 1.5%)</w:t>
            </w:r>
          </w:p>
        </w:tc>
        <w:tc>
          <w:tcPr>
            <w:tcW w:type="dxa" w:w="1728"/>
          </w:tcPr>
          <w:p>
            <w:r>
              <w:rPr>
                <w:rFonts w:ascii="Arial" w:hAnsi="Arial"/>
                <w:sz w:val="20"/>
              </w:rPr>
              <w:t>Theo lô hàng</w:t>
            </w:r>
          </w:p>
        </w:tc>
      </w:tr>
    </w:tbl>
    <w:p/>
    <w:p>
      <w:pPr>
        <w:pStyle w:val="Heading2"/>
        <w:jc w:val="left"/>
      </w:pPr>
      <w:r>
        <w:rPr>
          <w:rFonts w:ascii="Arial" w:hAnsi="Arial"/>
          <w:color w:val="003366"/>
        </w:rPr>
        <w:t>3.4 Thị Trường EV và Luật EVIDA</w:t>
      </w:r>
    </w:p>
    <w:p>
      <w:r>
        <w:rPr>
          <w:rFonts w:ascii="Arial" w:hAnsi="Arial"/>
          <w:b/>
        </w:rPr>
        <w:t xml:space="preserve">Luật EVIDA (RA 11697): </w:t>
      </w:r>
      <w:r>
        <w:rPr>
          <w:rFonts w:ascii="Arial" w:hAnsi="Arial"/>
        </w:rPr>
        <w:t>Có hiệu lực từ tháng 4/2022, cung cấp các ưu đãi toàn diện cho ngành công nghiệp xe điện</w:t>
      </w:r>
    </w:p>
    <w:p/>
    <w:p>
      <w:r>
        <w:rPr>
          <w:rFonts w:ascii="Arial" w:hAnsi="Arial"/>
          <w:b/>
        </w:rPr>
        <w:t>Các ưu đãi chính:</w:t>
      </w:r>
    </w:p>
    <w:p>
      <w:pPr>
        <w:pStyle w:val="ListBullet"/>
      </w:pPr>
      <w:r>
        <w:rPr>
          <w:rFonts w:ascii="Arial" w:hAnsi="Arial"/>
          <w:sz w:val="22"/>
        </w:rPr>
        <w:t>Miễn "number coding" (biện pháp giảm tắc nghẽn đường bộ)</w:t>
      </w:r>
    </w:p>
    <w:p>
      <w:pPr>
        <w:pStyle w:val="ListBullet"/>
      </w:pPr>
      <w:r>
        <w:rPr>
          <w:rFonts w:ascii="Arial" w:hAnsi="Arial"/>
          <w:sz w:val="22"/>
        </w:rPr>
        <w:t>Ưu tiên đăng ký và gia hạn tại LTO</w:t>
      </w:r>
    </w:p>
    <w:p>
      <w:pPr>
        <w:pStyle w:val="ListBullet"/>
      </w:pPr>
      <w:r>
        <w:rPr>
          <w:rFonts w:ascii="Arial" w:hAnsi="Arial"/>
          <w:sz w:val="22"/>
        </w:rPr>
        <w:t>Giảm 30% thuế tiêu thụ đặc biệt</w:t>
      </w:r>
    </w:p>
    <w:p>
      <w:pPr>
        <w:pStyle w:val="ListBullet"/>
      </w:pPr>
      <w:r>
        <w:rPr>
          <w:rFonts w:ascii="Arial" w:hAnsi="Arial"/>
          <w:sz w:val="22"/>
        </w:rPr>
        <w:t>Miễn thuế tiêu thụ đặc biệt cho xe điện nhập khẩu (đến 2028)</w:t>
      </w:r>
    </w:p>
    <w:p>
      <w:pPr>
        <w:pStyle w:val="ListBullet"/>
      </w:pPr>
      <w:r>
        <w:rPr>
          <w:rFonts w:ascii="Arial" w:hAnsi="Arial"/>
          <w:sz w:val="22"/>
        </w:rPr>
        <w:t>Yêu cầu 5% đội xe của công ty phải là xe điện - tạo thị trường đảm bảo cho doanh số EV</w:t>
      </w:r>
    </w:p>
    <w:p/>
    <w:p>
      <w:r>
        <w:rPr>
          <w:rFonts w:ascii="Arial" w:hAnsi="Arial"/>
          <w:b/>
        </w:rPr>
        <w:t xml:space="preserve">Tăng trưởng thị trường: </w:t>
      </w:r>
      <w:r>
        <w:rPr>
          <w:rFonts w:ascii="Arial" w:hAnsi="Arial"/>
        </w:rPr>
        <w:t>Doanh số EV tăng 80% năm 2024, hơn 20,000 xe đã đăng ký</w:t>
      </w:r>
    </w:p>
    <w:p/>
    <w:p>
      <w:pPr>
        <w:pStyle w:val="Heading2"/>
        <w:jc w:val="left"/>
      </w:pPr>
      <w:r>
        <w:rPr>
          <w:rFonts w:ascii="Arial" w:hAnsi="Arial"/>
          <w:color w:val="003366"/>
        </w:rPr>
        <w:t>3.5 Hoạt Động Vinfast Hiện Tại</w:t>
      </w:r>
    </w:p>
    <w:p>
      <w:r>
        <w:rPr>
          <w:rFonts w:ascii="Arial" w:hAnsi="Arial"/>
          <w:b/>
        </w:rPr>
        <w:t xml:space="preserve">Mở showroom: </w:t>
      </w:r>
      <w:r>
        <w:rPr>
          <w:rFonts w:ascii="Arial" w:hAnsi="Arial"/>
        </w:rPr>
        <w:t>Tháng 7/2024 - VinFast Aseana, VinFast EDSA, VinFast Alabang</w:t>
      </w:r>
    </w:p>
    <w:p>
      <w:r>
        <w:rPr>
          <w:rFonts w:ascii="Arial" w:hAnsi="Arial"/>
          <w:b/>
        </w:rPr>
        <w:t xml:space="preserve">Các mẫu xe: </w:t>
      </w:r>
      <w:r>
        <w:rPr>
          <w:rFonts w:ascii="Arial" w:hAnsi="Arial"/>
        </w:rPr>
        <w:t>VF 5 (SUV cỡ nhỏ), VF 7 (SUV cỡ trung), VF 9 (SUV cỡ lớn)</w:t>
      </w:r>
    </w:p>
    <w:p>
      <w:r>
        <w:rPr>
          <w:rFonts w:ascii="Arial" w:hAnsi="Arial"/>
          <w:b/>
        </w:rPr>
        <w:t xml:space="preserve">Đối tác chiến lược: </w:t>
      </w:r>
      <w:r>
        <w:rPr>
          <w:rFonts w:ascii="Arial" w:hAnsi="Arial"/>
        </w:rPr>
        <w:t>BDO Unibank (giải pháp tài chính bao gồm dịch vụ bảo hiểm), V-Green (cơ sở hạ tầng sạc), Green GSM Philippines (dịch vụ điện di chuyển)</w:t>
      </w:r>
    </w:p>
    <w:p>
      <w:r>
        <w:rPr>
          <w:rFonts w:ascii="Arial" w:hAnsi="Arial"/>
          <w:b/>
        </w:rPr>
        <w:t xml:space="preserve">Kế hoạch mở rộng: </w:t>
      </w:r>
      <w:r>
        <w:rPr>
          <w:rFonts w:ascii="Arial" w:hAnsi="Arial"/>
        </w:rPr>
        <w:t>Hàng chục đại lý được lên kế hoạch trên khắp Philippines năm 2024</w:t>
      </w:r>
    </w:p>
    <w:p/>
    <w:p>
      <w:pPr>
        <w:pStyle w:val="Heading2"/>
        <w:jc w:val="left"/>
      </w:pPr>
      <w:r>
        <w:rPr>
          <w:rFonts w:ascii="Arial" w:hAnsi="Arial"/>
          <w:color w:val="003366"/>
        </w:rPr>
        <w:t>3.6 Quy Mô Thị Trường</w:t>
      </w:r>
    </w:p>
    <w:p>
      <w:r>
        <w:rPr>
          <w:rFonts w:ascii="Arial" w:hAnsi="Arial"/>
          <w:b/>
        </w:rPr>
        <w:t xml:space="preserve">Thị trường phi nhân thọ: </w:t>
      </w:r>
      <w:r>
        <w:rPr>
          <w:rFonts w:ascii="Arial" w:hAnsi="Arial"/>
        </w:rPr>
        <w:t>USD 2.11 tỷ (2024), dự báo đạt USD 4.27 tỷ vào 2034 (CAGR 7.3%)</w:t>
      </w:r>
    </w:p>
    <w:p>
      <w:r>
        <w:rPr>
          <w:rFonts w:ascii="Arial" w:hAnsi="Arial"/>
          <w:b/>
        </w:rPr>
        <w:t xml:space="preserve">Bảo hiểm xe cơ giới: </w:t>
      </w:r>
      <w:r>
        <w:rPr>
          <w:rFonts w:ascii="Arial" w:hAnsi="Arial"/>
        </w:rPr>
        <w:t>41.08% phí bảo hiểm ròng (PHP 21.83 tỷ năm 2024)</w:t>
      </w:r>
    </w:p>
    <w:p>
      <w:r>
        <w:rPr>
          <w:rFonts w:ascii="Arial" w:hAnsi="Arial"/>
          <w:b/>
        </w:rPr>
        <w:t xml:space="preserve">Công ty bảo hiểm phi nhân thọ lớn nhất: </w:t>
      </w:r>
      <w:r>
        <w:rPr>
          <w:rFonts w:ascii="Arial" w:hAnsi="Arial"/>
        </w:rPr>
        <w:t>Pioneer Insurance &amp; Surety Corporation (PHP 15.6 tỷ năm 2023), Malayan Insurance Company, Inc.</w:t>
      </w:r>
    </w:p>
    <w:p/>
    <w:p>
      <w:pPr>
        <w:pStyle w:val="Heading2"/>
        <w:jc w:val="left"/>
      </w:pPr>
      <w:r>
        <w:rPr>
          <w:rFonts w:ascii="Arial" w:hAnsi="Arial"/>
          <w:color w:val="003366"/>
        </w:rPr>
        <w:t>3.7 Khuyến Nghị cho Vinfast/BeeVN tại Philippines</w:t>
      </w:r>
    </w:p>
    <w:p>
      <w:r>
        <w:rPr>
          <w:rFonts w:ascii="Arial" w:hAnsi="Arial"/>
          <w:sz w:val="22"/>
        </w:rPr>
        <w:t>1. Xác minh tình trạng giấy phép môi giới hiện tại và ngày gia hạn (chu kỳ 3 năm)</w:t>
      </w:r>
    </w:p>
    <w:p>
      <w:r>
        <w:rPr>
          <w:rFonts w:ascii="Arial" w:hAnsi="Arial"/>
          <w:sz w:val="22"/>
        </w:rPr>
        <w:t>2. Đảm bảo tuân thủ vốn điều lệ PHP 20 triệu và giá trị tài sản ròng</w:t>
      </w:r>
    </w:p>
    <w:p>
      <w:r>
        <w:rPr>
          <w:rFonts w:ascii="Arial" w:hAnsi="Arial"/>
          <w:sz w:val="22"/>
        </w:rPr>
        <w:t>3. Phát triển các sản phẩm bảo hiểm chuyên biệt cho EV với các công ty bảo hiểm hàng đầu (Pioneer, Malayan, BPI/MS)</w:t>
      </w:r>
    </w:p>
    <w:p>
      <w:r>
        <w:rPr>
          <w:rFonts w:ascii="Arial" w:hAnsi="Arial"/>
          <w:sz w:val="22"/>
        </w:rPr>
        <w:t>4. Tận dụng cơ hội thị trường đội xe/TNVS thông qua chương trình hiện đại hóa PUV</w:t>
      </w:r>
    </w:p>
    <w:p>
      <w:r>
        <w:rPr>
          <w:rFonts w:ascii="Arial" w:hAnsi="Arial"/>
          <w:sz w:val="22"/>
        </w:rPr>
        <w:t>5. Hỗ trợ mở rộng mạng lưới đại lý Vinfast với các gói bảo hiểm toàn diện</w:t>
      </w:r>
    </w:p>
    <w:p>
      <w:r>
        <w:rPr>
          <w:rFonts w:ascii="Arial" w:hAnsi="Arial"/>
          <w:sz w:val="22"/>
        </w:rPr>
        <w:t>6. Định vị là môi giới bảo hiểm EV hàng đầu tại Philippines</w:t>
      </w:r>
    </w:p>
    <w:p>
      <w:r>
        <w:rPr>
          <w:rFonts w:ascii="Arial" w:hAnsi="Arial"/>
          <w:sz w:val="22"/>
        </w:rPr>
        <w:t>7. Xây dựng chuyên môn về bảo hiểm cơ sở hạ tầng sạc (trách nhiệm, tài sản, an ninh mạng)</w:t>
      </w:r>
    </w:p>
    <w:p>
      <w:r>
        <w:br w:type="page"/>
      </w:r>
    </w:p>
    <w:p>
      <w:pPr>
        <w:pStyle w:val="Heading1"/>
        <w:jc w:val="left"/>
      </w:pPr>
      <w:r>
        <w:rPr>
          <w:rFonts w:ascii="Arial" w:hAnsi="Arial"/>
          <w:color w:val="003366"/>
        </w:rPr>
        <w:t>PHẦN 4: SO SÁNH BA THỊ TRƯỜNG</w:t>
      </w:r>
    </w:p>
    <w:p>
      <w:pPr>
        <w:pStyle w:val="Heading2"/>
        <w:jc w:val="left"/>
      </w:pPr>
      <w:r>
        <w:rPr>
          <w:rFonts w:ascii="Arial" w:hAnsi="Arial"/>
          <w:color w:val="003366"/>
        </w:rPr>
        <w:t>4.1 Ma Trận Yêu Cầu Quản Lý</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rFonts w:ascii="Arial" w:hAnsi="Arial"/>
                <w:b/>
                <w:sz w:val="20"/>
              </w:rPr>
              <w:t>Thị trường</w:t>
            </w:r>
          </w:p>
        </w:tc>
        <w:tc>
          <w:tcPr>
            <w:tcW w:type="dxa" w:w="1440"/>
          </w:tcPr>
          <w:p>
            <w:r>
              <w:rPr>
                <w:rFonts w:ascii="Arial" w:hAnsi="Arial"/>
                <w:b/>
                <w:sz w:val="20"/>
              </w:rPr>
              <w:t>Cơ quan</w:t>
            </w:r>
          </w:p>
        </w:tc>
        <w:tc>
          <w:tcPr>
            <w:tcW w:type="dxa" w:w="1440"/>
          </w:tcPr>
          <w:p>
            <w:r>
              <w:rPr>
                <w:rFonts w:ascii="Arial" w:hAnsi="Arial"/>
                <w:b/>
                <w:sz w:val="20"/>
              </w:rPr>
              <w:t>Khung khu vực</w:t>
            </w:r>
          </w:p>
        </w:tc>
        <w:tc>
          <w:tcPr>
            <w:tcW w:type="dxa" w:w="1440"/>
          </w:tcPr>
          <w:p>
            <w:r>
              <w:rPr>
                <w:rFonts w:ascii="Arial" w:hAnsi="Arial"/>
                <w:b/>
                <w:sz w:val="20"/>
              </w:rPr>
              <w:t>Hình thức pháp lý</w:t>
            </w:r>
          </w:p>
        </w:tc>
        <w:tc>
          <w:tcPr>
            <w:tcW w:type="dxa" w:w="1440"/>
          </w:tcPr>
          <w:p>
            <w:r>
              <w:rPr>
                <w:rFonts w:ascii="Arial" w:hAnsi="Arial"/>
                <w:b/>
                <w:sz w:val="20"/>
              </w:rPr>
              <w:t>Vốn tối thiểu</w:t>
            </w:r>
          </w:p>
        </w:tc>
        <w:tc>
          <w:tcPr>
            <w:tcW w:type="dxa" w:w="1440"/>
          </w:tcPr>
          <w:p>
            <w:r>
              <w:rPr>
                <w:rFonts w:ascii="Arial" w:hAnsi="Arial"/>
                <w:b/>
                <w:sz w:val="20"/>
              </w:rPr>
              <w:t>Bồi thường lao động</w:t>
            </w:r>
          </w:p>
        </w:tc>
      </w:tr>
      <w:tr>
        <w:tc>
          <w:tcPr>
            <w:tcW w:type="dxa" w:w="1440"/>
          </w:tcPr>
          <w:p>
            <w:r>
              <w:rPr>
                <w:rFonts w:ascii="Arial" w:hAnsi="Arial"/>
                <w:sz w:val="20"/>
              </w:rPr>
              <w:t>DRC</w:t>
            </w:r>
          </w:p>
        </w:tc>
        <w:tc>
          <w:tcPr>
            <w:tcW w:type="dxa" w:w="1440"/>
          </w:tcPr>
          <w:p>
            <w:r>
              <w:rPr>
                <w:rFonts w:ascii="Arial" w:hAnsi="Arial"/>
                <w:sz w:val="20"/>
              </w:rPr>
              <w:t>ARCA</w:t>
            </w:r>
          </w:p>
        </w:tc>
        <w:tc>
          <w:tcPr>
            <w:tcW w:type="dxa" w:w="1440"/>
          </w:tcPr>
          <w:p>
            <w:r>
              <w:rPr>
                <w:rFonts w:ascii="Arial" w:hAnsi="Arial"/>
                <w:sz w:val="20"/>
              </w:rPr>
              <w:t>Không</w:t>
            </w:r>
          </w:p>
        </w:tc>
        <w:tc>
          <w:tcPr>
            <w:tcW w:type="dxa" w:w="1440"/>
          </w:tcPr>
          <w:p>
            <w:r>
              <w:rPr>
                <w:rFonts w:ascii="Arial" w:hAnsi="Arial"/>
                <w:sz w:val="20"/>
              </w:rPr>
              <w:t>SA địa phương bắt buộc</w:t>
            </w:r>
          </w:p>
        </w:tc>
        <w:tc>
          <w:tcPr>
            <w:tcW w:type="dxa" w:w="1440"/>
          </w:tcPr>
          <w:p>
            <w:r>
              <w:rPr>
                <w:rFonts w:ascii="Arial" w:hAnsi="Arial"/>
                <w:sz w:val="20"/>
              </w:rPr>
              <w:t>Chưa xác định</w:t>
            </w:r>
          </w:p>
        </w:tc>
        <w:tc>
          <w:tcPr>
            <w:tcW w:type="dxa" w:w="1440"/>
          </w:tcPr>
          <w:p>
            <w:r>
              <w:rPr>
                <w:rFonts w:ascii="Arial" w:hAnsi="Arial"/>
                <w:sz w:val="20"/>
              </w:rPr>
              <w:t>INSS nhà nước (1.5-3%)</w:t>
            </w:r>
          </w:p>
        </w:tc>
      </w:tr>
      <w:tr>
        <w:tc>
          <w:tcPr>
            <w:tcW w:type="dxa" w:w="1440"/>
          </w:tcPr>
          <w:p>
            <w:r>
              <w:rPr>
                <w:rFonts w:ascii="Arial" w:hAnsi="Arial"/>
                <w:sz w:val="20"/>
              </w:rPr>
              <w:t>Kazakhstan</w:t>
            </w:r>
          </w:p>
        </w:tc>
        <w:tc>
          <w:tcPr>
            <w:tcW w:type="dxa" w:w="1440"/>
          </w:tcPr>
          <w:p>
            <w:r>
              <w:rPr>
                <w:rFonts w:ascii="Arial" w:hAnsi="Arial"/>
                <w:sz w:val="20"/>
              </w:rPr>
              <w:t>ARDFM (NBK)</w:t>
            </w:r>
          </w:p>
        </w:tc>
        <w:tc>
          <w:tcPr>
            <w:tcW w:type="dxa" w:w="1440"/>
          </w:tcPr>
          <w:p>
            <w:r>
              <w:rPr>
                <w:rFonts w:ascii="Arial" w:hAnsi="Arial"/>
                <w:sz w:val="20"/>
              </w:rPr>
              <w:t>EAEU</w:t>
            </w:r>
          </w:p>
        </w:tc>
        <w:tc>
          <w:tcPr>
            <w:tcW w:type="dxa" w:w="1440"/>
          </w:tcPr>
          <w:p>
            <w:r>
              <w:rPr>
                <w:rFonts w:ascii="Arial" w:hAnsi="Arial"/>
                <w:sz w:val="20"/>
              </w:rPr>
              <w:t>Chi nhánh/Công ty con</w:t>
            </w:r>
          </w:p>
        </w:tc>
        <w:tc>
          <w:tcPr>
            <w:tcW w:type="dxa" w:w="1440"/>
          </w:tcPr>
          <w:p>
            <w:r>
              <w:rPr>
                <w:rFonts w:ascii="Arial" w:hAnsi="Arial"/>
                <w:sz w:val="20"/>
              </w:rPr>
              <w:t>Khác nhau</w:t>
            </w:r>
          </w:p>
        </w:tc>
        <w:tc>
          <w:tcPr>
            <w:tcW w:type="dxa" w:w="1440"/>
          </w:tcPr>
          <w:p>
            <w:r>
              <w:rPr>
                <w:rFonts w:ascii="Arial" w:hAnsi="Arial"/>
                <w:sz w:val="20"/>
              </w:rPr>
              <w:t>Luật 30 (bắt buộc)</w:t>
            </w:r>
          </w:p>
        </w:tc>
      </w:tr>
      <w:tr>
        <w:tc>
          <w:tcPr>
            <w:tcW w:type="dxa" w:w="1440"/>
          </w:tcPr>
          <w:p>
            <w:r>
              <w:rPr>
                <w:rFonts w:ascii="Arial" w:hAnsi="Arial"/>
                <w:sz w:val="20"/>
              </w:rPr>
              <w:t>Philippines</w:t>
            </w:r>
          </w:p>
        </w:tc>
        <w:tc>
          <w:tcPr>
            <w:tcW w:type="dxa" w:w="1440"/>
          </w:tcPr>
          <w:p>
            <w:r>
              <w:rPr>
                <w:rFonts w:ascii="Arial" w:hAnsi="Arial"/>
                <w:sz w:val="20"/>
              </w:rPr>
              <w:t>Insurance Commission</w:t>
            </w:r>
          </w:p>
        </w:tc>
        <w:tc>
          <w:tcPr>
            <w:tcW w:type="dxa" w:w="1440"/>
          </w:tcPr>
          <w:p>
            <w:r>
              <w:rPr>
                <w:rFonts w:ascii="Arial" w:hAnsi="Arial"/>
                <w:sz w:val="20"/>
              </w:rPr>
              <w:t>Không</w:t>
            </w:r>
          </w:p>
        </w:tc>
        <w:tc>
          <w:tcPr>
            <w:tcW w:type="dxa" w:w="1440"/>
          </w:tcPr>
          <w:p>
            <w:r>
              <w:rPr>
                <w:rFonts w:ascii="Arial" w:hAnsi="Arial"/>
                <w:sz w:val="20"/>
              </w:rPr>
              <w:t>100% nước ngoài OK</w:t>
            </w:r>
          </w:p>
        </w:tc>
        <w:tc>
          <w:tcPr>
            <w:tcW w:type="dxa" w:w="1440"/>
          </w:tcPr>
          <w:p>
            <w:r>
              <w:rPr>
                <w:rFonts w:ascii="Arial" w:hAnsi="Arial"/>
                <w:sz w:val="20"/>
              </w:rPr>
              <w:t>PHP 20M</w:t>
            </w:r>
          </w:p>
        </w:tc>
        <w:tc>
          <w:tcPr>
            <w:tcW w:type="dxa" w:w="1440"/>
          </w:tcPr>
          <w:p>
            <w:r>
              <w:rPr>
                <w:rFonts w:ascii="Arial" w:hAnsi="Arial"/>
                <w:sz w:val="20"/>
              </w:rPr>
              <w:t>SSS/GSIS (chính phủ)</w:t>
            </w:r>
          </w:p>
        </w:tc>
      </w:tr>
    </w:tbl>
    <w:p/>
    <w:p>
      <w:pPr>
        <w:pStyle w:val="Heading2"/>
        <w:jc w:val="left"/>
      </w:pPr>
      <w:r>
        <w:rPr>
          <w:rFonts w:ascii="Arial" w:hAnsi="Arial"/>
          <w:color w:val="003366"/>
        </w:rPr>
        <w:t>4.2 Ma Trận Sản Phẩm Bảo Hiểm cho Hoạt Động Vinfast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rFonts w:ascii="Arial" w:hAnsi="Arial"/>
                <w:b/>
                <w:sz w:val="20"/>
              </w:rPr>
              <w:t>Loại bảo hiểm</w:t>
            </w:r>
          </w:p>
        </w:tc>
        <w:tc>
          <w:tcPr>
            <w:tcW w:type="dxa" w:w="2160"/>
          </w:tcPr>
          <w:p>
            <w:r>
              <w:rPr>
                <w:rFonts w:ascii="Arial" w:hAnsi="Arial"/>
                <w:b/>
                <w:sz w:val="20"/>
              </w:rPr>
              <w:t>DRC</w:t>
            </w:r>
          </w:p>
        </w:tc>
        <w:tc>
          <w:tcPr>
            <w:tcW w:type="dxa" w:w="2160"/>
          </w:tcPr>
          <w:p>
            <w:r>
              <w:rPr>
                <w:rFonts w:ascii="Arial" w:hAnsi="Arial"/>
                <w:b/>
                <w:sz w:val="20"/>
              </w:rPr>
              <w:t>Kazakhstan</w:t>
            </w:r>
          </w:p>
        </w:tc>
        <w:tc>
          <w:tcPr>
            <w:tcW w:type="dxa" w:w="2160"/>
          </w:tcPr>
          <w:p>
            <w:r>
              <w:rPr>
                <w:rFonts w:ascii="Arial" w:hAnsi="Arial"/>
                <w:b/>
                <w:sz w:val="20"/>
              </w:rPr>
              <w:t>Philippines</w:t>
            </w:r>
          </w:p>
        </w:tc>
      </w:tr>
      <w:tr>
        <w:tc>
          <w:tcPr>
            <w:tcW w:type="dxa" w:w="2160"/>
          </w:tcPr>
          <w:p>
            <w:r>
              <w:rPr>
                <w:rFonts w:ascii="Arial" w:hAnsi="Arial"/>
                <w:sz w:val="20"/>
              </w:rPr>
              <w:t>Trách nhiệm xe cơ giới</w:t>
            </w:r>
          </w:p>
        </w:tc>
        <w:tc>
          <w:tcPr>
            <w:tcW w:type="dxa" w:w="2160"/>
          </w:tcPr>
          <w:p>
            <w:r>
              <w:rPr>
                <w:rFonts w:ascii="Arial" w:hAnsi="Arial"/>
                <w:sz w:val="20"/>
              </w:rPr>
              <w:t>BẮT BUỘC</w:t>
            </w:r>
          </w:p>
        </w:tc>
        <w:tc>
          <w:tcPr>
            <w:tcW w:type="dxa" w:w="2160"/>
          </w:tcPr>
          <w:p>
            <w:r>
              <w:rPr>
                <w:rFonts w:ascii="Arial" w:hAnsi="Arial"/>
                <w:sz w:val="20"/>
              </w:rPr>
              <w:t>BẮT BUỘC (OSAGO)</w:t>
            </w:r>
          </w:p>
        </w:tc>
        <w:tc>
          <w:tcPr>
            <w:tcW w:type="dxa" w:w="2160"/>
          </w:tcPr>
          <w:p>
            <w:r>
              <w:rPr>
                <w:rFonts w:ascii="Arial" w:hAnsi="Arial"/>
                <w:sz w:val="20"/>
              </w:rPr>
              <w:t>BẮT BUỘC (CTPL PHP 200K)</w:t>
            </w:r>
          </w:p>
        </w:tc>
      </w:tr>
      <w:tr>
        <w:tc>
          <w:tcPr>
            <w:tcW w:type="dxa" w:w="2160"/>
          </w:tcPr>
          <w:p>
            <w:r>
              <w:rPr>
                <w:rFonts w:ascii="Arial" w:hAnsi="Arial"/>
                <w:sz w:val="20"/>
              </w:rPr>
              <w:t>Xe cơ giới toàn diện</w:t>
            </w:r>
          </w:p>
        </w:tc>
        <w:tc>
          <w:tcPr>
            <w:tcW w:type="dxa" w:w="2160"/>
          </w:tcPr>
          <w:p>
            <w:r>
              <w:rPr>
                <w:rFonts w:ascii="Arial" w:hAnsi="Arial"/>
                <w:sz w:val="20"/>
              </w:rPr>
              <w:t>Khuyến nghị</w:t>
            </w:r>
          </w:p>
        </w:tc>
        <w:tc>
          <w:tcPr>
            <w:tcW w:type="dxa" w:w="2160"/>
          </w:tcPr>
          <w:p>
            <w:r>
              <w:rPr>
                <w:rFonts w:ascii="Arial" w:hAnsi="Arial"/>
                <w:sz w:val="20"/>
              </w:rPr>
              <w:t>Khuyến nghị</w:t>
            </w:r>
          </w:p>
        </w:tc>
        <w:tc>
          <w:tcPr>
            <w:tcW w:type="dxa" w:w="2160"/>
          </w:tcPr>
          <w:p>
            <w:r>
              <w:rPr>
                <w:rFonts w:ascii="Arial" w:hAnsi="Arial"/>
                <w:sz w:val="20"/>
              </w:rPr>
              <w:t>Khuyến nghị</w:t>
            </w:r>
          </w:p>
        </w:tc>
      </w:tr>
      <w:tr>
        <w:tc>
          <w:tcPr>
            <w:tcW w:type="dxa" w:w="2160"/>
          </w:tcPr>
          <w:p>
            <w:r>
              <w:rPr>
                <w:rFonts w:ascii="Arial" w:hAnsi="Arial"/>
                <w:sz w:val="20"/>
              </w:rPr>
              <w:t>Tài sản/Tất cả rủi ro</w:t>
            </w:r>
          </w:p>
        </w:tc>
        <w:tc>
          <w:tcPr>
            <w:tcW w:type="dxa" w:w="2160"/>
          </w:tcPr>
          <w:p>
            <w:r>
              <w:rPr>
                <w:rFonts w:ascii="Arial" w:hAnsi="Arial"/>
                <w:sz w:val="20"/>
              </w:rPr>
              <w:t>Khuyến nghị</w:t>
            </w:r>
          </w:p>
        </w:tc>
        <w:tc>
          <w:tcPr>
            <w:tcW w:type="dxa" w:w="2160"/>
          </w:tcPr>
          <w:p>
            <w:r>
              <w:rPr>
                <w:rFonts w:ascii="Arial" w:hAnsi="Arial"/>
                <w:sz w:val="20"/>
              </w:rPr>
              <w:t>Khuyến nghị</w:t>
            </w:r>
          </w:p>
        </w:tc>
        <w:tc>
          <w:tcPr>
            <w:tcW w:type="dxa" w:w="2160"/>
          </w:tcPr>
          <w:p>
            <w:r>
              <w:rPr>
                <w:rFonts w:ascii="Arial" w:hAnsi="Arial"/>
                <w:sz w:val="20"/>
              </w:rPr>
              <w:t>Khuyến nghị</w:t>
            </w:r>
          </w:p>
        </w:tc>
      </w:tr>
      <w:tr>
        <w:tc>
          <w:tcPr>
            <w:tcW w:type="dxa" w:w="2160"/>
          </w:tcPr>
          <w:p>
            <w:r>
              <w:rPr>
                <w:rFonts w:ascii="Arial" w:hAnsi="Arial"/>
                <w:sz w:val="20"/>
              </w:rPr>
              <w:t>Bồi thường lao động</w:t>
            </w:r>
          </w:p>
        </w:tc>
        <w:tc>
          <w:tcPr>
            <w:tcW w:type="dxa" w:w="2160"/>
          </w:tcPr>
          <w:p>
            <w:r>
              <w:rPr>
                <w:rFonts w:ascii="Arial" w:hAnsi="Arial"/>
                <w:sz w:val="20"/>
              </w:rPr>
              <w:t>BẮT BUỘC (INSS)</w:t>
            </w:r>
          </w:p>
        </w:tc>
        <w:tc>
          <w:tcPr>
            <w:tcW w:type="dxa" w:w="2160"/>
          </w:tcPr>
          <w:p>
            <w:r>
              <w:rPr>
                <w:rFonts w:ascii="Arial" w:hAnsi="Arial"/>
                <w:sz w:val="20"/>
              </w:rPr>
              <w:t>BẮT BUỘC</w:t>
            </w:r>
          </w:p>
        </w:tc>
        <w:tc>
          <w:tcPr>
            <w:tcW w:type="dxa" w:w="2160"/>
          </w:tcPr>
          <w:p>
            <w:r>
              <w:rPr>
                <w:rFonts w:ascii="Arial" w:hAnsi="Arial"/>
                <w:sz w:val="20"/>
              </w:rPr>
              <w:t>BẮT BUỘC (SSS/GSIS)</w:t>
            </w:r>
          </w:p>
        </w:tc>
      </w:tr>
      <w:tr>
        <w:tc>
          <w:tcPr>
            <w:tcW w:type="dxa" w:w="2160"/>
          </w:tcPr>
          <w:p>
            <w:r>
              <w:rPr>
                <w:rFonts w:ascii="Arial" w:hAnsi="Arial"/>
                <w:sz w:val="20"/>
              </w:rPr>
              <w:t>Trách nhiệm môi trường</w:t>
            </w:r>
          </w:p>
        </w:tc>
        <w:tc>
          <w:tcPr>
            <w:tcW w:type="dxa" w:w="2160"/>
          </w:tcPr>
          <w:p>
            <w:r>
              <w:rPr>
                <w:rFonts w:ascii="Arial" w:hAnsi="Arial"/>
                <w:sz w:val="20"/>
              </w:rPr>
              <w:t>Chưa rõ</w:t>
            </w:r>
          </w:p>
        </w:tc>
        <w:tc>
          <w:tcPr>
            <w:tcW w:type="dxa" w:w="2160"/>
          </w:tcPr>
          <w:p>
            <w:r>
              <w:rPr>
                <w:rFonts w:ascii="Arial" w:hAnsi="Arial"/>
                <w:sz w:val="20"/>
              </w:rPr>
              <w:t>BẮT BUỘC (Loại I)</w:t>
            </w:r>
          </w:p>
        </w:tc>
        <w:tc>
          <w:tcPr>
            <w:tcW w:type="dxa" w:w="2160"/>
          </w:tcPr>
          <w:p>
            <w:r>
              <w:rPr>
                <w:rFonts w:ascii="Arial" w:hAnsi="Arial"/>
                <w:sz w:val="20"/>
              </w:rPr>
              <w:t>Theo từng trường hợp</w:t>
            </w:r>
          </w:p>
        </w:tc>
      </w:tr>
      <w:tr>
        <w:tc>
          <w:tcPr>
            <w:tcW w:type="dxa" w:w="2160"/>
          </w:tcPr>
          <w:p>
            <w:r>
              <w:rPr>
                <w:rFonts w:ascii="Arial" w:hAnsi="Arial"/>
                <w:sz w:val="20"/>
              </w:rPr>
              <w:t>Hàng hóa/Hàng hải</w:t>
            </w:r>
          </w:p>
        </w:tc>
        <w:tc>
          <w:tcPr>
            <w:tcW w:type="dxa" w:w="2160"/>
          </w:tcPr>
          <w:p>
            <w:r>
              <w:rPr>
                <w:rFonts w:ascii="Arial" w:hAnsi="Arial"/>
                <w:sz w:val="20"/>
              </w:rPr>
              <w:t>BẮT BUỘC (công ty DRC)</w:t>
            </w:r>
          </w:p>
        </w:tc>
        <w:tc>
          <w:tcPr>
            <w:tcW w:type="dxa" w:w="2160"/>
          </w:tcPr>
          <w:p>
            <w:r>
              <w:rPr>
                <w:rFonts w:ascii="Arial" w:hAnsi="Arial"/>
                <w:sz w:val="20"/>
              </w:rPr>
              <w:t>Khuyến nghị</w:t>
            </w:r>
          </w:p>
        </w:tc>
        <w:tc>
          <w:tcPr>
            <w:tcW w:type="dxa" w:w="2160"/>
          </w:tcPr>
          <w:p>
            <w:r>
              <w:rPr>
                <w:rFonts w:ascii="Arial" w:hAnsi="Arial"/>
                <w:sz w:val="20"/>
              </w:rPr>
              <w:t>Khuyến nghị (CIF 1.5%)</w:t>
            </w:r>
          </w:p>
        </w:tc>
      </w:tr>
      <w:tr>
        <w:tc>
          <w:tcPr>
            <w:tcW w:type="dxa" w:w="2160"/>
          </w:tcPr>
          <w:p>
            <w:r>
              <w:rPr>
                <w:rFonts w:ascii="Arial" w:hAnsi="Arial"/>
                <w:sz w:val="20"/>
              </w:rPr>
              <w:t>Xây dựng (CAR)</w:t>
            </w:r>
          </w:p>
        </w:tc>
        <w:tc>
          <w:tcPr>
            <w:tcW w:type="dxa" w:w="2160"/>
          </w:tcPr>
          <w:p>
            <w:r>
              <w:rPr>
                <w:rFonts w:ascii="Arial" w:hAnsi="Arial"/>
                <w:sz w:val="20"/>
              </w:rPr>
              <w:t>BẮT BUỘC (10 năm)</w:t>
            </w:r>
          </w:p>
        </w:tc>
        <w:tc>
          <w:tcPr>
            <w:tcW w:type="dxa" w:w="2160"/>
          </w:tcPr>
          <w:p>
            <w:r>
              <w:rPr>
                <w:rFonts w:ascii="Arial" w:hAnsi="Arial"/>
                <w:sz w:val="20"/>
              </w:rPr>
              <w:t>Khuyến nghị</w:t>
            </w:r>
          </w:p>
        </w:tc>
        <w:tc>
          <w:tcPr>
            <w:tcW w:type="dxa" w:w="2160"/>
          </w:tcPr>
          <w:p>
            <w:r>
              <w:rPr>
                <w:rFonts w:ascii="Arial" w:hAnsi="Arial"/>
                <w:sz w:val="20"/>
              </w:rPr>
              <w:t>Khuyến nghị</w:t>
            </w:r>
          </w:p>
        </w:tc>
      </w:tr>
      <w:tr>
        <w:tc>
          <w:tcPr>
            <w:tcW w:type="dxa" w:w="2160"/>
          </w:tcPr>
          <w:p>
            <w:r>
              <w:rPr>
                <w:rFonts w:ascii="Arial" w:hAnsi="Arial"/>
                <w:sz w:val="20"/>
              </w:rPr>
              <w:t>Trách nhiệm sản phẩm</w:t>
            </w:r>
          </w:p>
        </w:tc>
        <w:tc>
          <w:tcPr>
            <w:tcW w:type="dxa" w:w="2160"/>
          </w:tcPr>
          <w:p>
            <w:r>
              <w:rPr>
                <w:rFonts w:ascii="Arial" w:hAnsi="Arial"/>
                <w:sz w:val="20"/>
              </w:rPr>
              <w:t>Khuyến nghị</w:t>
            </w:r>
          </w:p>
        </w:tc>
        <w:tc>
          <w:tcPr>
            <w:tcW w:type="dxa" w:w="2160"/>
          </w:tcPr>
          <w:p>
            <w:r>
              <w:rPr>
                <w:rFonts w:ascii="Arial" w:hAnsi="Arial"/>
                <w:sz w:val="20"/>
              </w:rPr>
              <w:t>Khuyến nghị</w:t>
            </w:r>
          </w:p>
        </w:tc>
        <w:tc>
          <w:tcPr>
            <w:tcW w:type="dxa" w:w="2160"/>
          </w:tcPr>
          <w:p>
            <w:r>
              <w:rPr>
                <w:rFonts w:ascii="Arial" w:hAnsi="Arial"/>
                <w:sz w:val="20"/>
              </w:rPr>
              <w:t>Khuyến nghị</w:t>
            </w:r>
          </w:p>
        </w:tc>
      </w:tr>
      <w:tr>
        <w:tc>
          <w:tcPr>
            <w:tcW w:type="dxa" w:w="2160"/>
          </w:tcPr>
          <w:p>
            <w:r>
              <w:rPr>
                <w:rFonts w:ascii="Arial" w:hAnsi="Arial"/>
                <w:sz w:val="20"/>
              </w:rPr>
              <w:t>Gián đoạn kinh doanh</w:t>
            </w:r>
          </w:p>
        </w:tc>
        <w:tc>
          <w:tcPr>
            <w:tcW w:type="dxa" w:w="2160"/>
          </w:tcPr>
          <w:p>
            <w:r>
              <w:rPr>
                <w:rFonts w:ascii="Arial" w:hAnsi="Arial"/>
                <w:sz w:val="20"/>
              </w:rPr>
              <w:t>Khuyến nghị</w:t>
            </w:r>
          </w:p>
        </w:tc>
        <w:tc>
          <w:tcPr>
            <w:tcW w:type="dxa" w:w="2160"/>
          </w:tcPr>
          <w:p>
            <w:r>
              <w:rPr>
                <w:rFonts w:ascii="Arial" w:hAnsi="Arial"/>
                <w:sz w:val="20"/>
              </w:rPr>
              <w:t>Khuyến nghị</w:t>
            </w:r>
          </w:p>
        </w:tc>
        <w:tc>
          <w:tcPr>
            <w:tcW w:type="dxa" w:w="2160"/>
          </w:tcPr>
          <w:p>
            <w:r>
              <w:rPr>
                <w:rFonts w:ascii="Arial" w:hAnsi="Arial"/>
                <w:sz w:val="20"/>
              </w:rPr>
              <w:t>Khuyến nghị</w:t>
            </w:r>
          </w:p>
        </w:tc>
      </w:tr>
    </w:tbl>
    <w:p/>
    <w:p>
      <w:pPr>
        <w:pStyle w:val="Heading2"/>
        <w:jc w:val="left"/>
      </w:pPr>
      <w:r>
        <w:rPr>
          <w:rFonts w:ascii="Arial" w:hAnsi="Arial"/>
          <w:color w:val="003366"/>
        </w:rPr>
        <w:t>4.3 Ma Trận Cơ Hội Thị Trường EV</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rFonts w:ascii="Arial" w:hAnsi="Arial"/>
                <w:b/>
                <w:sz w:val="20"/>
              </w:rPr>
              <w:t>Thị trường</w:t>
            </w:r>
          </w:p>
        </w:tc>
        <w:tc>
          <w:tcPr>
            <w:tcW w:type="dxa" w:w="1728"/>
          </w:tcPr>
          <w:p>
            <w:r>
              <w:rPr>
                <w:rFonts w:ascii="Arial" w:hAnsi="Arial"/>
                <w:b/>
                <w:sz w:val="20"/>
              </w:rPr>
              <w:t>Quy mô thị trường EV</w:t>
            </w:r>
          </w:p>
        </w:tc>
        <w:tc>
          <w:tcPr>
            <w:tcW w:type="dxa" w:w="1728"/>
          </w:tcPr>
          <w:p>
            <w:r>
              <w:rPr>
                <w:rFonts w:ascii="Arial" w:hAnsi="Arial"/>
                <w:b/>
                <w:sz w:val="20"/>
              </w:rPr>
              <w:t>Ưu đãi chính phủ</w:t>
            </w:r>
          </w:p>
        </w:tc>
        <w:tc>
          <w:tcPr>
            <w:tcW w:type="dxa" w:w="1728"/>
          </w:tcPr>
          <w:p>
            <w:r>
              <w:rPr>
                <w:rFonts w:ascii="Arial" w:hAnsi="Arial"/>
                <w:b/>
                <w:sz w:val="20"/>
              </w:rPr>
              <w:t>Sản phẩm bảo hiểm EV</w:t>
            </w:r>
          </w:p>
        </w:tc>
        <w:tc>
          <w:tcPr>
            <w:tcW w:type="dxa" w:w="1728"/>
          </w:tcPr>
          <w:p>
            <w:r>
              <w:rPr>
                <w:rFonts w:ascii="Arial" w:hAnsi="Arial"/>
                <w:b/>
                <w:sz w:val="20"/>
              </w:rPr>
              <w:t>Tình trạng hoạt động Vinfast</w:t>
            </w:r>
          </w:p>
        </w:tc>
      </w:tr>
      <w:tr>
        <w:tc>
          <w:tcPr>
            <w:tcW w:type="dxa" w:w="1728"/>
          </w:tcPr>
          <w:p>
            <w:r>
              <w:rPr>
                <w:rFonts w:ascii="Arial" w:hAnsi="Arial"/>
                <w:sz w:val="20"/>
              </w:rPr>
              <w:t>DRC</w:t>
            </w:r>
          </w:p>
        </w:tc>
        <w:tc>
          <w:tcPr>
            <w:tcW w:type="dxa" w:w="1728"/>
          </w:tcPr>
          <w:p>
            <w:r>
              <w:rPr>
                <w:rFonts w:ascii="Arial" w:hAnsi="Arial"/>
                <w:sz w:val="20"/>
              </w:rPr>
              <w:t>Tối thiểu</w:t>
            </w:r>
          </w:p>
        </w:tc>
        <w:tc>
          <w:tcPr>
            <w:tcW w:type="dxa" w:w="1728"/>
          </w:tcPr>
          <w:p>
            <w:r>
              <w:rPr>
                <w:rFonts w:ascii="Arial" w:hAnsi="Arial"/>
                <w:sz w:val="20"/>
              </w:rPr>
              <w:t>Không cụ thể</w:t>
            </w:r>
          </w:p>
        </w:tc>
        <w:tc>
          <w:tcPr>
            <w:tcW w:type="dxa" w:w="1728"/>
          </w:tcPr>
          <w:p>
            <w:r>
              <w:rPr>
                <w:rFonts w:ascii="Arial" w:hAnsi="Arial"/>
                <w:sz w:val="20"/>
              </w:rPr>
              <w:t>Chưa phát triển</w:t>
            </w:r>
          </w:p>
        </w:tc>
        <w:tc>
          <w:tcPr>
            <w:tcW w:type="dxa" w:w="1728"/>
          </w:tcPr>
          <w:p>
            <w:r>
              <w:rPr>
                <w:rFonts w:ascii="Arial" w:hAnsi="Arial"/>
                <w:sz w:val="20"/>
              </w:rPr>
              <w:t>Nhà máy pin</w:t>
            </w:r>
          </w:p>
        </w:tc>
      </w:tr>
      <w:tr>
        <w:tc>
          <w:tcPr>
            <w:tcW w:type="dxa" w:w="1728"/>
          </w:tcPr>
          <w:p>
            <w:r>
              <w:rPr>
                <w:rFonts w:ascii="Arial" w:hAnsi="Arial"/>
                <w:sz w:val="20"/>
              </w:rPr>
              <w:t>Kazakhstan</w:t>
            </w:r>
          </w:p>
        </w:tc>
        <w:tc>
          <w:tcPr>
            <w:tcW w:type="dxa" w:w="1728"/>
          </w:tcPr>
          <w:p>
            <w:r>
              <w:rPr>
                <w:rFonts w:ascii="Arial" w:hAnsi="Arial"/>
                <w:sz w:val="20"/>
              </w:rPr>
              <w:t>19,000+ (H1 2025)</w:t>
            </w:r>
          </w:p>
        </w:tc>
        <w:tc>
          <w:tcPr>
            <w:tcW w:type="dxa" w:w="1728"/>
          </w:tcPr>
          <w:p>
            <w:r>
              <w:rPr>
                <w:rFonts w:ascii="Arial" w:hAnsi="Arial"/>
                <w:sz w:val="20"/>
              </w:rPr>
              <w:t>Đến 31/12/2025</w:t>
            </w:r>
          </w:p>
        </w:tc>
        <w:tc>
          <w:tcPr>
            <w:tcW w:type="dxa" w:w="1728"/>
          </w:tcPr>
          <w:p>
            <w:r>
              <w:rPr>
                <w:rFonts w:ascii="Arial" w:hAnsi="Arial"/>
                <w:sz w:val="20"/>
              </w:rPr>
              <w:t>Chưa phát triển</w:t>
            </w:r>
          </w:p>
        </w:tc>
        <w:tc>
          <w:tcPr>
            <w:tcW w:type="dxa" w:w="1728"/>
          </w:tcPr>
          <w:p>
            <w:r>
              <w:rPr>
                <w:rFonts w:ascii="Arial" w:hAnsi="Arial"/>
                <w:sz w:val="20"/>
              </w:rPr>
              <w:t>Mở rộng dự kiến</w:t>
            </w:r>
          </w:p>
        </w:tc>
      </w:tr>
      <w:tr>
        <w:tc>
          <w:tcPr>
            <w:tcW w:type="dxa" w:w="1728"/>
          </w:tcPr>
          <w:p>
            <w:r>
              <w:rPr>
                <w:rFonts w:ascii="Arial" w:hAnsi="Arial"/>
                <w:sz w:val="20"/>
              </w:rPr>
              <w:t>Philippines</w:t>
            </w:r>
          </w:p>
        </w:tc>
        <w:tc>
          <w:tcPr>
            <w:tcW w:type="dxa" w:w="1728"/>
          </w:tcPr>
          <w:p>
            <w:r>
              <w:rPr>
                <w:rFonts w:ascii="Arial" w:hAnsi="Arial"/>
                <w:sz w:val="20"/>
              </w:rPr>
              <w:t>20,000+ (2024)</w:t>
            </w:r>
          </w:p>
        </w:tc>
        <w:tc>
          <w:tcPr>
            <w:tcW w:type="dxa" w:w="1728"/>
          </w:tcPr>
          <w:p>
            <w:r>
              <w:rPr>
                <w:rFonts w:ascii="Arial" w:hAnsi="Arial"/>
                <w:sz w:val="20"/>
              </w:rPr>
              <w:t>EVIDA (5% đội xe)</w:t>
            </w:r>
          </w:p>
        </w:tc>
        <w:tc>
          <w:tcPr>
            <w:tcW w:type="dxa" w:w="1728"/>
          </w:tcPr>
          <w:p>
            <w:r>
              <w:rPr>
                <w:rFonts w:ascii="Arial" w:hAnsi="Arial"/>
                <w:sz w:val="20"/>
              </w:rPr>
              <w:t>Mới nổi</w:t>
            </w:r>
          </w:p>
        </w:tc>
        <w:tc>
          <w:tcPr>
            <w:tcW w:type="dxa" w:w="1728"/>
          </w:tcPr>
          <w:p>
            <w:r>
              <w:rPr>
                <w:rFonts w:ascii="Arial" w:hAnsi="Arial"/>
                <w:sz w:val="20"/>
              </w:rPr>
              <w:t>Đại lý hoạt động từ 7/2024</w:t>
            </w:r>
          </w:p>
        </w:tc>
      </w:tr>
    </w:tbl>
    <w:p/>
    <w:p>
      <w:pPr>
        <w:pStyle w:val="Heading2"/>
        <w:jc w:val="left"/>
      </w:pPr>
      <w:r>
        <w:rPr>
          <w:rFonts w:ascii="Arial" w:hAnsi="Arial"/>
          <w:color w:val="003366"/>
        </w:rPr>
        <w:t>4.4 Phân Tích Điểm Mạnh-Yếu-Cơ Hội-Thách Thức</w:t>
      </w:r>
    </w:p>
    <w:p>
      <w:r>
        <w:rPr>
          <w:rFonts w:ascii="Arial" w:hAnsi="Arial"/>
          <w:b/>
        </w:rPr>
        <w:t>DRC:</w:t>
      </w:r>
    </w:p>
    <w:p>
      <w:r>
        <w:rPr>
          <w:rFonts w:ascii="Arial" w:hAnsi="Arial"/>
          <w:b/>
        </w:rPr>
        <w:t xml:space="preserve">• Điểm mạnh: </w:t>
      </w:r>
      <w:r>
        <w:rPr>
          <w:rFonts w:ascii="Arial" w:hAnsi="Arial"/>
        </w:rPr>
        <w:t>Tăng trưởng thị trường nhanh (5 lần), tự do hóa gần đây</w:t>
      </w:r>
    </w:p>
    <w:p>
      <w:r>
        <w:rPr>
          <w:rFonts w:ascii="Arial" w:hAnsi="Arial"/>
          <w:b/>
        </w:rPr>
        <w:t xml:space="preserve">• Điểm yếu: </w:t>
      </w:r>
      <w:r>
        <w:rPr>
          <w:rFonts w:ascii="Arial" w:hAnsi="Arial"/>
        </w:rPr>
        <w:t>Rủi ro chính trị cao, yêu cầu bảo hiểm hàng nhập khẩu địa phương bắt buộc</w:t>
      </w:r>
    </w:p>
    <w:p>
      <w:r>
        <w:rPr>
          <w:rFonts w:ascii="Arial" w:hAnsi="Arial"/>
          <w:b/>
        </w:rPr>
        <w:t xml:space="preserve">• Cơ hội: </w:t>
      </w:r>
      <w:r>
        <w:rPr>
          <w:rFonts w:ascii="Arial" w:hAnsi="Arial"/>
        </w:rPr>
        <w:t>Nhà máy pin, thị trường chưa phát triển</w:t>
      </w:r>
    </w:p>
    <w:p>
      <w:r>
        <w:rPr>
          <w:rFonts w:ascii="Arial" w:hAnsi="Arial"/>
          <w:b/>
        </w:rPr>
        <w:t xml:space="preserve">• Thách thức: </w:t>
      </w:r>
      <w:r>
        <w:rPr>
          <w:rFonts w:ascii="Arial" w:hAnsi="Arial"/>
        </w:rPr>
        <w:t>Yêu cầu cấp phép không rõ ràng, thiếu dữ liệu</w:t>
      </w:r>
    </w:p>
    <w:p/>
    <w:p>
      <w:r>
        <w:rPr>
          <w:rFonts w:ascii="Arial" w:hAnsi="Arial"/>
          <w:b/>
        </w:rPr>
        <w:t>Kazakhstan:</w:t>
      </w:r>
    </w:p>
    <w:p>
      <w:r>
        <w:rPr>
          <w:rFonts w:ascii="Arial" w:hAnsi="Arial"/>
          <w:b/>
        </w:rPr>
        <w:t xml:space="preserve">• Điểm mạnh: </w:t>
      </w:r>
      <w:r>
        <w:rPr>
          <w:rFonts w:ascii="Arial" w:hAnsi="Arial"/>
        </w:rPr>
        <w:t>Môi trường quản lý mạnh, tăng trưởng thị trường EV nhanh, ưu đãi chính phủ</w:t>
      </w:r>
    </w:p>
    <w:p>
      <w:r>
        <w:rPr>
          <w:rFonts w:ascii="Arial" w:hAnsi="Arial"/>
          <w:b/>
        </w:rPr>
        <w:t xml:space="preserve">• Điểm yếu: </w:t>
      </w:r>
      <w:r>
        <w:rPr>
          <w:rFonts w:ascii="Arial" w:hAnsi="Arial"/>
        </w:rPr>
        <w:t>Cấp phép EAEU không tự động công nhận</w:t>
      </w:r>
    </w:p>
    <w:p>
      <w:r>
        <w:rPr>
          <w:rFonts w:ascii="Arial" w:hAnsi="Arial"/>
          <w:b/>
        </w:rPr>
        <w:t xml:space="preserve">• Cơ hội: </w:t>
      </w:r>
      <w:r>
        <w:rPr>
          <w:rFonts w:ascii="Arial" w:hAnsi="Arial"/>
        </w:rPr>
        <w:t>Thị trường bảo hiểm EV chưa phát triển - cơ hội chuyên môn hóa lớn</w:t>
      </w:r>
    </w:p>
    <w:p>
      <w:r>
        <w:rPr>
          <w:rFonts w:ascii="Arial" w:hAnsi="Arial"/>
          <w:b/>
        </w:rPr>
        <w:t xml:space="preserve">• Thách thức: </w:t>
      </w:r>
      <w:r>
        <w:rPr>
          <w:rFonts w:ascii="Arial" w:hAnsi="Arial"/>
        </w:rPr>
        <w:t>Cần nghiên cứu sơ cấp về các sản phẩm cụ thể</w:t>
      </w:r>
    </w:p>
    <w:p/>
    <w:p>
      <w:r>
        <w:rPr>
          <w:rFonts w:ascii="Arial" w:hAnsi="Arial"/>
          <w:b/>
        </w:rPr>
        <w:t>Philippines:</w:t>
      </w:r>
    </w:p>
    <w:p>
      <w:r>
        <w:rPr>
          <w:rFonts w:ascii="Arial" w:hAnsi="Arial"/>
          <w:b/>
        </w:rPr>
        <w:t xml:space="preserve">• Điểm mạnh: </w:t>
      </w:r>
      <w:r>
        <w:rPr>
          <w:rFonts w:ascii="Arial" w:hAnsi="Arial"/>
        </w:rPr>
        <w:t>100% sở hữu nước ngoài, hoạt động Vinfast hiện có, luật EVIDA mạnh</w:t>
      </w:r>
    </w:p>
    <w:p>
      <w:r>
        <w:rPr>
          <w:rFonts w:ascii="Arial" w:hAnsi="Arial"/>
          <w:b/>
        </w:rPr>
        <w:t xml:space="preserve">• Điểm yếu: </w:t>
      </w:r>
      <w:r>
        <w:rPr>
          <w:rFonts w:ascii="Arial" w:hAnsi="Arial"/>
        </w:rPr>
        <w:t>Thị trường cạnh tranh, yêu cầu gia hạn 3 năm</w:t>
      </w:r>
    </w:p>
    <w:p>
      <w:r>
        <w:rPr>
          <w:rFonts w:ascii="Arial" w:hAnsi="Arial"/>
          <w:b/>
        </w:rPr>
        <w:t xml:space="preserve">• Cơ hội: </w:t>
      </w:r>
      <w:r>
        <w:rPr>
          <w:rFonts w:ascii="Arial" w:hAnsi="Arial"/>
        </w:rPr>
        <w:t>Hiện đại hóa PUV, yêu cầu 5% đội xe, mở rộng đại lý</w:t>
      </w:r>
    </w:p>
    <w:p>
      <w:r>
        <w:rPr>
          <w:rFonts w:ascii="Arial" w:hAnsi="Arial"/>
          <w:b/>
        </w:rPr>
        <w:t xml:space="preserve">• Thách thức: </w:t>
      </w:r>
      <w:r>
        <w:rPr>
          <w:rFonts w:ascii="Arial" w:hAnsi="Arial"/>
        </w:rPr>
        <w:t>Bảo hiểm EV đắt hơn, cần giáo dục khách hàng</w:t>
      </w:r>
    </w:p>
    <w:p>
      <w:r>
        <w:br w:type="page"/>
      </w:r>
    </w:p>
    <w:p>
      <w:pPr>
        <w:pStyle w:val="Heading1"/>
        <w:jc w:val="left"/>
      </w:pPr>
      <w:r>
        <w:rPr>
          <w:rFonts w:ascii="Arial" w:hAnsi="Arial"/>
          <w:color w:val="003366"/>
        </w:rPr>
        <w:t>PHẦN 5: KẾ HOẠCH HÀNH ĐỘNG</w:t>
      </w:r>
    </w:p>
    <w:p>
      <w:pPr>
        <w:pStyle w:val="Heading2"/>
        <w:jc w:val="left"/>
      </w:pPr>
      <w:r>
        <w:rPr>
          <w:rFonts w:ascii="Arial" w:hAnsi="Arial"/>
          <w:color w:val="003366"/>
        </w:rPr>
        <w:t>Giai Đoạn 1: Ngay Lập Tức (0-30 ngày)</w:t>
      </w:r>
    </w:p>
    <w:p>
      <w:r>
        <w:rPr>
          <w:rFonts w:ascii="Arial" w:hAnsi="Arial"/>
          <w:b/>
        </w:rPr>
        <w:t xml:space="preserve">Philippines: </w:t>
      </w:r>
      <w:r>
        <w:rPr>
          <w:rFonts w:ascii="Arial" w:hAnsi="Arial"/>
        </w:rPr>
        <w:t>Xác minh tình trạng giấy phép môi giới; đảm bảo tuân thủ hỗ trợ Vinfast</w:t>
      </w:r>
    </w:p>
    <w:p>
      <w:r>
        <w:rPr>
          <w:rFonts w:ascii="Arial" w:hAnsi="Arial"/>
          <w:b/>
        </w:rPr>
        <w:t xml:space="preserve">Tất cả thị trường: </w:t>
      </w:r>
      <w:r>
        <w:rPr>
          <w:rFonts w:ascii="Arial" w:hAnsi="Arial"/>
        </w:rPr>
        <w:t>Thuê tư vấn pháp lý địa phương cho từng quyền tài phán</w:t>
      </w:r>
    </w:p>
    <w:p>
      <w:r>
        <w:rPr>
          <w:rFonts w:ascii="Arial" w:hAnsi="Arial"/>
          <w:b/>
        </w:rPr>
        <w:t xml:space="preserve">Tất cả thị trường: </w:t>
      </w:r>
      <w:r>
        <w:rPr>
          <w:rFonts w:ascii="Arial" w:hAnsi="Arial"/>
        </w:rPr>
        <w:t>Liên hệ trực tiếp với cơ quan quản lý để làm rõ yêu cầu cấp phép</w:t>
      </w:r>
    </w:p>
    <w:p/>
    <w:p>
      <w:pPr>
        <w:pStyle w:val="Heading2"/>
        <w:jc w:val="left"/>
      </w:pPr>
      <w:r>
        <w:rPr>
          <w:rFonts w:ascii="Arial" w:hAnsi="Arial"/>
          <w:color w:val="003366"/>
        </w:rPr>
        <w:t>Giai Đoạn 2: Ngắn Hạn (30-90 ngày)</w:t>
      </w:r>
    </w:p>
    <w:p>
      <w:r>
        <w:rPr>
          <w:rFonts w:ascii="Arial" w:hAnsi="Arial"/>
          <w:b/>
        </w:rPr>
        <w:t xml:space="preserve">DRC: </w:t>
      </w:r>
      <w:r>
        <w:rPr>
          <w:rFonts w:ascii="Arial" w:hAnsi="Arial"/>
        </w:rPr>
        <w:t>Bắt đầu tư vấn ARCA; khởi động quy trình thành lập công ty</w:t>
      </w:r>
    </w:p>
    <w:p>
      <w:r>
        <w:rPr>
          <w:rFonts w:ascii="Arial" w:hAnsi="Arial"/>
          <w:b/>
        </w:rPr>
        <w:t xml:space="preserve">Kazakhstan: </w:t>
      </w:r>
      <w:r>
        <w:rPr>
          <w:rFonts w:ascii="Arial" w:hAnsi="Arial"/>
        </w:rPr>
        <w:t>Bắt đầu đơn xin chi nhánh qua elicense.kz</w:t>
      </w:r>
    </w:p>
    <w:p>
      <w:r>
        <w:rPr>
          <w:rFonts w:ascii="Arial" w:hAnsi="Arial"/>
          <w:b/>
        </w:rPr>
        <w:t xml:space="preserve">Philippines: </w:t>
      </w:r>
      <w:r>
        <w:rPr>
          <w:rFonts w:ascii="Arial" w:hAnsi="Arial"/>
        </w:rPr>
        <w:t>Phát triển các sản phẩm bảo hiểm chuyên biệt EV với các công ty bảo hiểm</w:t>
      </w:r>
    </w:p>
    <w:p/>
    <w:p>
      <w:pPr>
        <w:pStyle w:val="Heading2"/>
        <w:jc w:val="left"/>
      </w:pPr>
      <w:r>
        <w:rPr>
          <w:rFonts w:ascii="Arial" w:hAnsi="Arial"/>
          <w:color w:val="003366"/>
        </w:rPr>
        <w:t>Giai Đoạn 3: Trung Hạn (90-180 ngày)</w:t>
      </w:r>
    </w:p>
    <w:p>
      <w:r>
        <w:rPr>
          <w:rFonts w:ascii="Arial" w:hAnsi="Arial"/>
          <w:b/>
        </w:rPr>
        <w:t xml:space="preserve">DRC: </w:t>
      </w:r>
      <w:r>
        <w:rPr>
          <w:rFonts w:ascii="Arial" w:hAnsi="Arial"/>
        </w:rPr>
        <w:t>Hoàn thành cấp phép môi giới; thiết lập văn phòng tại Kinshasa</w:t>
      </w:r>
    </w:p>
    <w:p>
      <w:r>
        <w:rPr>
          <w:rFonts w:ascii="Arial" w:hAnsi="Arial"/>
          <w:b/>
        </w:rPr>
        <w:t xml:space="preserve">Kazakhstan: </w:t>
      </w:r>
      <w:r>
        <w:rPr>
          <w:rFonts w:ascii="Arial" w:hAnsi="Arial"/>
        </w:rPr>
        <w:t>Có được giấy phép hoạt động; thuê nhân viên địa phương</w:t>
      </w:r>
    </w:p>
    <w:p>
      <w:r>
        <w:rPr>
          <w:rFonts w:ascii="Arial" w:hAnsi="Arial"/>
          <w:b/>
        </w:rPr>
        <w:t xml:space="preserve">Tất cả thị trường: </w:t>
      </w:r>
      <w:r>
        <w:rPr>
          <w:rFonts w:ascii="Arial" w:hAnsi="Arial"/>
        </w:rPr>
        <w:t>Ra mắt chương trình bảo hiểm Vinfast phối hợp</w:t>
      </w:r>
    </w:p>
    <w:p/>
    <w:p>
      <w:pPr>
        <w:pStyle w:val="Heading2"/>
        <w:jc w:val="left"/>
      </w:pPr>
      <w:r>
        <w:rPr>
          <w:rFonts w:ascii="Arial" w:hAnsi="Arial"/>
          <w:color w:val="003366"/>
        </w:rPr>
        <w:t>Giai Đoạn 4: Dài Hạn (180+ ngày)</w:t>
      </w:r>
    </w:p>
    <w:p>
      <w:r>
        <w:rPr>
          <w:rFonts w:ascii="Arial" w:hAnsi="Arial"/>
          <w:b/>
        </w:rPr>
        <w:t xml:space="preserve">Tất cả thị trường: </w:t>
      </w:r>
      <w:r>
        <w:rPr>
          <w:rFonts w:ascii="Arial" w:hAnsi="Arial"/>
        </w:rPr>
        <w:t>Định vị là chuyên gia bảo hiểm EV</w:t>
      </w:r>
    </w:p>
    <w:p>
      <w:r>
        <w:rPr>
          <w:rFonts w:ascii="Arial" w:hAnsi="Arial"/>
          <w:b/>
        </w:rPr>
        <w:t xml:space="preserve">Khu vực: </w:t>
      </w:r>
      <w:r>
        <w:rPr>
          <w:rFonts w:ascii="Arial" w:hAnsi="Arial"/>
        </w:rPr>
        <w:t>Phát triển khả năng quản lý rủi ro xuyên biên giới</w:t>
      </w:r>
    </w:p>
    <w:p>
      <w:r>
        <w:rPr>
          <w:rFonts w:ascii="Arial" w:hAnsi="Arial"/>
          <w:b/>
        </w:rPr>
        <w:t xml:space="preserve">Đổi mới: </w:t>
      </w:r>
      <w:r>
        <w:rPr>
          <w:rFonts w:ascii="Arial" w:hAnsi="Arial"/>
        </w:rPr>
        <w:t>Tạo ra các sản phẩm dựa trên viễn thông cho đội xe EV</w:t>
      </w:r>
    </w:p>
    <w:p>
      <w:r>
        <w:br w:type="page"/>
      </w:r>
    </w:p>
    <w:p>
      <w:pPr>
        <w:pStyle w:val="Heading1"/>
        <w:jc w:val="left"/>
      </w:pPr>
      <w:r>
        <w:rPr>
          <w:rFonts w:ascii="Arial" w:hAnsi="Arial"/>
          <w:color w:val="003366"/>
        </w:rPr>
        <w:t>PHẦN 6: KHOẢNG TRỐNG DỮ LIỆU VÀ NGHIÊN CỨU TIẾP THEO</w:t>
      </w:r>
    </w:p>
    <w:p>
      <w:pPr>
        <w:pStyle w:val="Heading2"/>
        <w:jc w:val="left"/>
      </w:pPr>
      <w:r>
        <w:rPr>
          <w:rFonts w:ascii="Arial" w:hAnsi="Arial"/>
          <w:color w:val="003366"/>
        </w:rPr>
        <w:t>6.1 DRC - Cần Nghiên Cứu Sơ Cấp</w:t>
      </w:r>
    </w:p>
    <w:p>
      <w:pPr>
        <w:pStyle w:val="ListBullet"/>
      </w:pPr>
      <w:r>
        <w:rPr>
          <w:rFonts w:ascii="Arial" w:hAnsi="Arial"/>
          <w:sz w:val="22"/>
        </w:rPr>
        <w:t>Yêu cầu bảo hiểm trách nhiệm môi trường (xác nhận với ARCA)</w:t>
      </w:r>
    </w:p>
    <w:p>
      <w:pPr>
        <w:pStyle w:val="ListBullet"/>
      </w:pPr>
      <w:r>
        <w:rPr>
          <w:rFonts w:ascii="Arial" w:hAnsi="Arial"/>
          <w:sz w:val="22"/>
        </w:rPr>
        <w:t>Yêu cầu vốn cụ thể cho môi giới</w:t>
      </w:r>
    </w:p>
    <w:p>
      <w:pPr>
        <w:pStyle w:val="ListBullet"/>
      </w:pPr>
      <w:r>
        <w:rPr>
          <w:rFonts w:ascii="Arial" w:hAnsi="Arial"/>
          <w:sz w:val="22"/>
        </w:rPr>
        <w:t>Yêu cầu đối tác địa phương cho môi giới nước ngoài</w:t>
      </w:r>
    </w:p>
    <w:p>
      <w:pPr>
        <w:pStyle w:val="ListBullet"/>
      </w:pPr>
      <w:r>
        <w:rPr>
          <w:rFonts w:ascii="Arial" w:hAnsi="Arial"/>
          <w:sz w:val="22"/>
        </w:rPr>
        <w:t>Thuế suất phí bảo hiểm</w:t>
      </w:r>
    </w:p>
    <w:p>
      <w:pPr>
        <w:pStyle w:val="ListBullet"/>
      </w:pPr>
      <w:r>
        <w:rPr>
          <w:rFonts w:ascii="Arial" w:hAnsi="Arial"/>
          <w:sz w:val="22"/>
        </w:rPr>
        <w:t>Yêu cầu ngôn ngữ chính sách (Pháp/Anh)</w:t>
      </w:r>
    </w:p>
    <w:p>
      <w:pPr>
        <w:pStyle w:val="ListBullet"/>
      </w:pPr>
      <w:r>
        <w:rPr>
          <w:rFonts w:ascii="Arial" w:hAnsi="Arial"/>
          <w:sz w:val="22"/>
        </w:rPr>
        <w:t>Thời gian giải quyết khiếu nại tiêu chuẩn thị trường</w:t>
      </w:r>
    </w:p>
    <w:p>
      <w:pPr>
        <w:pStyle w:val="ListBullet"/>
      </w:pPr>
      <w:r>
        <w:rPr>
          <w:rFonts w:ascii="Arial" w:hAnsi="Arial"/>
          <w:sz w:val="22"/>
        </w:rPr>
        <w:t>Công suất thị trường cho rủi ro công nghiệp lớn</w:t>
      </w:r>
    </w:p>
    <w:p/>
    <w:p>
      <w:pPr>
        <w:pStyle w:val="Heading2"/>
        <w:jc w:val="left"/>
      </w:pPr>
      <w:r>
        <w:rPr>
          <w:rFonts w:ascii="Arial" w:hAnsi="Arial"/>
          <w:color w:val="003366"/>
        </w:rPr>
        <w:t>6.2 Kazakhstan - Cần Nghiên Cứu Sơ Cấp</w:t>
      </w:r>
    </w:p>
    <w:p>
      <w:pPr>
        <w:pStyle w:val="ListBullet"/>
      </w:pPr>
      <w:r>
        <w:rPr>
          <w:rFonts w:ascii="Arial" w:hAnsi="Arial"/>
          <w:sz w:val="22"/>
        </w:rPr>
        <w:t>Tính khả dụng của các sản phẩm bảo hiểm cụ thể cho EV</w:t>
      </w:r>
    </w:p>
    <w:p>
      <w:pPr>
        <w:pStyle w:val="ListBullet"/>
      </w:pPr>
      <w:r>
        <w:rPr>
          <w:rFonts w:ascii="Arial" w:hAnsi="Arial"/>
          <w:sz w:val="22"/>
        </w:rPr>
        <w:t>Yêu cầu bắt buộc bảo hiểm CAR</w:t>
      </w:r>
    </w:p>
    <w:p>
      <w:pPr>
        <w:pStyle w:val="ListBullet"/>
      </w:pPr>
      <w:r>
        <w:rPr>
          <w:rFonts w:ascii="Arial" w:hAnsi="Arial"/>
          <w:sz w:val="22"/>
        </w:rPr>
        <w:t>Quy định cụ thể cho đội xe/taxi</w:t>
      </w:r>
    </w:p>
    <w:p>
      <w:pPr>
        <w:pStyle w:val="ListBullet"/>
      </w:pPr>
      <w:r>
        <w:rPr>
          <w:rFonts w:ascii="Arial" w:hAnsi="Arial"/>
          <w:sz w:val="22"/>
        </w:rPr>
        <w:t>Cấu trúc hoa hồng môi giới</w:t>
      </w:r>
    </w:p>
    <w:p>
      <w:pPr>
        <w:pStyle w:val="ListBullet"/>
      </w:pPr>
      <w:r>
        <w:rPr>
          <w:rFonts w:ascii="Arial" w:hAnsi="Arial"/>
          <w:sz w:val="22"/>
        </w:rPr>
        <w:t>Thời gian cấp phép ARDFM</w:t>
      </w:r>
    </w:p>
    <w:p>
      <w:pPr>
        <w:pStyle w:val="ListBullet"/>
      </w:pPr>
      <w:r>
        <w:rPr>
          <w:rFonts w:ascii="Arial" w:hAnsi="Arial"/>
          <w:sz w:val="22"/>
        </w:rPr>
        <w:t>Tiêu chí bảo lãnh cho rủi ro EV</w:t>
      </w:r>
    </w:p>
    <w:p>
      <w:pPr>
        <w:pStyle w:val="ListBullet"/>
      </w:pPr>
      <w:r>
        <w:rPr>
          <w:rFonts w:ascii="Arial" w:hAnsi="Arial"/>
          <w:sz w:val="22"/>
        </w:rPr>
        <w:t>Sắp xếp tái bảo hiểm cho hoạt động EV</w:t>
      </w:r>
    </w:p>
    <w:p/>
    <w:p>
      <w:pPr>
        <w:pStyle w:val="Heading2"/>
        <w:jc w:val="left"/>
      </w:pPr>
      <w:r>
        <w:rPr>
          <w:rFonts w:ascii="Arial" w:hAnsi="Arial"/>
          <w:color w:val="003366"/>
        </w:rPr>
        <w:t>6.3 Philippines - Cần Nghiên Cứu Sơ Cấp</w:t>
      </w:r>
    </w:p>
    <w:p>
      <w:pPr>
        <w:pStyle w:val="ListBullet"/>
      </w:pPr>
      <w:r>
        <w:rPr>
          <w:rFonts w:ascii="Arial" w:hAnsi="Arial"/>
          <w:sz w:val="22"/>
        </w:rPr>
        <w:t>Yêu cầu CPD cho môi giới (nếu có)</w:t>
      </w:r>
    </w:p>
    <w:p>
      <w:pPr>
        <w:pStyle w:val="ListBullet"/>
      </w:pPr>
      <w:r>
        <w:rPr>
          <w:rFonts w:ascii="Arial" w:hAnsi="Arial"/>
          <w:sz w:val="22"/>
        </w:rPr>
        <w:t>Yêu cầu bảo hiểm bắt buộc cụ thể cho đại lý</w:t>
      </w:r>
    </w:p>
    <w:p>
      <w:pPr>
        <w:pStyle w:val="ListBullet"/>
      </w:pPr>
      <w:r>
        <w:rPr>
          <w:rFonts w:ascii="Arial" w:hAnsi="Arial"/>
          <w:sz w:val="22"/>
        </w:rPr>
        <w:t>Chi tiết sản phẩm bảo hiểm EV từ các công ty bảo hiểm cụ thể</w:t>
      </w:r>
    </w:p>
    <w:p>
      <w:pPr>
        <w:pStyle w:val="ListBullet"/>
      </w:pPr>
      <w:r>
        <w:rPr>
          <w:rFonts w:ascii="Arial" w:hAnsi="Arial"/>
          <w:sz w:val="22"/>
        </w:rPr>
        <w:t>Yêu cầu bảo hiểm trạm sạc</w:t>
      </w:r>
    </w:p>
    <w:p>
      <w:pPr>
        <w:pStyle w:val="ListBullet"/>
      </w:pPr>
      <w:r>
        <w:rPr>
          <w:rFonts w:ascii="Arial" w:hAnsi="Arial"/>
          <w:sz w:val="22"/>
        </w:rPr>
        <w:t>Giá và điều khoản bảo vệ so sánh</w:t>
      </w:r>
    </w:p>
    <w:p>
      <w:pPr>
        <w:pStyle w:val="ListBullet"/>
      </w:pPr>
      <w:r>
        <w:rPr>
          <w:rFonts w:ascii="Arial" w:hAnsi="Arial"/>
          <w:sz w:val="22"/>
        </w:rPr>
        <w:t>Thực hành ngành công nghiệp ô tô (Toyota, Honda, Nissan)</w:t>
      </w:r>
    </w:p>
    <w:p>
      <w:pPr>
        <w:pStyle w:val="ListBullet"/>
      </w:pPr>
      <w:r>
        <w:rPr>
          <w:rFonts w:ascii="Arial" w:hAnsi="Arial"/>
          <w:sz w:val="22"/>
        </w:rPr>
        <w:t>Chiến lược bảo hiểm nhãn hiệu EV khác (BYD, Tesla, MG)</w:t>
      </w:r>
    </w:p>
    <w:p/>
    <w:p>
      <w:pPr>
        <w:pStyle w:val="Heading2"/>
        <w:jc w:val="left"/>
      </w:pPr>
      <w:r>
        <w:rPr>
          <w:rFonts w:ascii="Arial" w:hAnsi="Arial"/>
          <w:color w:val="003366"/>
        </w:rPr>
        <w:t>6.4 Các Bên Liên Quan Chính để Tư Vấn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rFonts w:ascii="Arial" w:hAnsi="Arial"/>
                <w:b/>
                <w:sz w:val="20"/>
              </w:rPr>
              <w:t>Thị trường</w:t>
            </w:r>
          </w:p>
        </w:tc>
        <w:tc>
          <w:tcPr>
            <w:tcW w:type="dxa" w:w="2880"/>
          </w:tcPr>
          <w:p>
            <w:r>
              <w:rPr>
                <w:rFonts w:ascii="Arial" w:hAnsi="Arial"/>
                <w:b/>
                <w:sz w:val="20"/>
              </w:rPr>
              <w:t>Các bên liên quan</w:t>
            </w:r>
          </w:p>
        </w:tc>
        <w:tc>
          <w:tcPr>
            <w:tcW w:type="dxa" w:w="2880"/>
          </w:tcPr>
          <w:p>
            <w:r>
              <w:rPr>
                <w:rFonts w:ascii="Arial" w:hAnsi="Arial"/>
                <w:b/>
                <w:sz w:val="20"/>
              </w:rPr>
              <w:t>Website chính</w:t>
            </w:r>
          </w:p>
        </w:tc>
      </w:tr>
      <w:tr>
        <w:tc>
          <w:tcPr>
            <w:tcW w:type="dxa" w:w="2880"/>
          </w:tcPr>
          <w:p>
            <w:r>
              <w:rPr>
                <w:rFonts w:ascii="Arial" w:hAnsi="Arial"/>
                <w:sz w:val="20"/>
              </w:rPr>
              <w:t>DRC</w:t>
            </w:r>
          </w:p>
        </w:tc>
        <w:tc>
          <w:tcPr>
            <w:tcW w:type="dxa" w:w="2880"/>
          </w:tcPr>
          <w:p>
            <w:r>
              <w:rPr>
                <w:rFonts w:ascii="Arial" w:hAnsi="Arial"/>
                <w:sz w:val="20"/>
              </w:rPr>
              <w:t>ARCA, Tư vấn pháp lý Congo, SFA, Rawsur, SONAS</w:t>
            </w:r>
          </w:p>
        </w:tc>
        <w:tc>
          <w:tcPr>
            <w:tcW w:type="dxa" w:w="2880"/>
          </w:tcPr>
          <w:p>
            <w:r>
              <w:rPr>
                <w:rFonts w:ascii="Arial" w:hAnsi="Arial"/>
                <w:sz w:val="20"/>
              </w:rPr>
              <w:t>arca.cd</w:t>
            </w:r>
          </w:p>
        </w:tc>
      </w:tr>
      <w:tr>
        <w:tc>
          <w:tcPr>
            <w:tcW w:type="dxa" w:w="2880"/>
          </w:tcPr>
          <w:p>
            <w:r>
              <w:rPr>
                <w:rFonts w:ascii="Arial" w:hAnsi="Arial"/>
                <w:sz w:val="20"/>
              </w:rPr>
              <w:t>Kazakhstan</w:t>
            </w:r>
          </w:p>
        </w:tc>
        <w:tc>
          <w:tcPr>
            <w:tcW w:type="dxa" w:w="2880"/>
          </w:tcPr>
          <w:p>
            <w:r>
              <w:rPr>
                <w:rFonts w:ascii="Arial" w:hAnsi="Arial"/>
                <w:sz w:val="20"/>
              </w:rPr>
              <w:t>ARDFM, IC Centras, Eurasia Insurance, Halyk</w:t>
            </w:r>
          </w:p>
        </w:tc>
        <w:tc>
          <w:tcPr>
            <w:tcW w:type="dxa" w:w="2880"/>
          </w:tcPr>
          <w:p>
            <w:r>
              <w:rPr>
                <w:rFonts w:ascii="Arial" w:hAnsi="Arial"/>
                <w:sz w:val="20"/>
              </w:rPr>
              <w:t>www.elicense.kz</w:t>
            </w:r>
          </w:p>
        </w:tc>
      </w:tr>
      <w:tr>
        <w:tc>
          <w:tcPr>
            <w:tcW w:type="dxa" w:w="2880"/>
          </w:tcPr>
          <w:p>
            <w:r>
              <w:rPr>
                <w:rFonts w:ascii="Arial" w:hAnsi="Arial"/>
                <w:sz w:val="20"/>
              </w:rPr>
              <w:t>Philippines</w:t>
            </w:r>
          </w:p>
        </w:tc>
        <w:tc>
          <w:tcPr>
            <w:tcW w:type="dxa" w:w="2880"/>
          </w:tcPr>
          <w:p>
            <w:r>
              <w:rPr>
                <w:rFonts w:ascii="Arial" w:hAnsi="Arial"/>
                <w:sz w:val="20"/>
              </w:rPr>
              <w:t>Insurance Commission, Pioneer, Malayan, BPI/MS, BDO</w:t>
            </w:r>
          </w:p>
        </w:tc>
        <w:tc>
          <w:tcPr>
            <w:tcW w:type="dxa" w:w="2880"/>
          </w:tcPr>
          <w:p>
            <w:r>
              <w:rPr>
                <w:rFonts w:ascii="Arial" w:hAnsi="Arial"/>
                <w:sz w:val="20"/>
              </w:rPr>
              <w:t>www.insurance.gov.ph</w:t>
            </w:r>
          </w:p>
        </w:tc>
      </w:tr>
    </w:tbl>
    <w:p>
      <w:r>
        <w:br w:type="page"/>
      </w:r>
    </w:p>
    <w:p>
      <w:pPr>
        <w:pStyle w:val="Heading1"/>
        <w:jc w:val="left"/>
      </w:pPr>
      <w:r>
        <w:rPr>
          <w:rFonts w:ascii="Arial" w:hAnsi="Arial"/>
          <w:color w:val="003366"/>
        </w:rPr>
        <w:t>PHỤ LỤC A: LIÊN HỆ VÀ NGUỒN TÀI LIỆU</w:t>
      </w:r>
    </w:p>
    <w:p>
      <w:pPr>
        <w:pStyle w:val="Heading2"/>
        <w:jc w:val="left"/>
      </w:pPr>
      <w:r>
        <w:rPr>
          <w:rFonts w:ascii="Arial" w:hAnsi="Arial"/>
          <w:color w:val="003366"/>
        </w:rPr>
        <w:t>DRC - Cộng Hòa Dân Chủ Congo</w:t>
      </w:r>
    </w:p>
    <w:p>
      <w:r>
        <w:rPr>
          <w:rFonts w:ascii="Arial" w:hAnsi="Arial"/>
          <w:b/>
        </w:rPr>
        <w:t xml:space="preserve">ARCA: </w:t>
      </w:r>
      <w:r>
        <w:rPr>
          <w:rFonts w:ascii="Arial" w:hAnsi="Arial"/>
        </w:rPr>
        <w:t>arca.cd (Cơ quan quản lý)</w:t>
      </w:r>
    </w:p>
    <w:p>
      <w:r>
        <w:rPr>
          <w:rFonts w:ascii="Arial" w:hAnsi="Arial"/>
          <w:b/>
        </w:rPr>
        <w:t xml:space="preserve">SONAS: </w:t>
      </w:r>
      <w:r>
        <w:rPr>
          <w:rFonts w:ascii="Arial" w:hAnsi="Arial"/>
        </w:rPr>
        <w:t>www.sonas.cd, +243 81 970 0904 (Công ty bảo hiểm nhà nước)</w:t>
      </w:r>
    </w:p>
    <w:p>
      <w:r>
        <w:rPr>
          <w:rFonts w:ascii="Arial" w:hAnsi="Arial"/>
          <w:b/>
        </w:rPr>
        <w:t xml:space="preserve">SFA: </w:t>
      </w:r>
      <w:r>
        <w:rPr>
          <w:rFonts w:ascii="Arial" w:hAnsi="Arial"/>
        </w:rPr>
        <w:t>Không có trang web công khai (Công ty dẫn đầu thị trường)</w:t>
      </w:r>
    </w:p>
    <w:p/>
    <w:p>
      <w:pPr>
        <w:pStyle w:val="Heading2"/>
        <w:jc w:val="left"/>
      </w:pPr>
      <w:r>
        <w:rPr>
          <w:rFonts w:ascii="Arial" w:hAnsi="Arial"/>
          <w:color w:val="003366"/>
        </w:rPr>
        <w:t>Kazakhstan</w:t>
      </w:r>
    </w:p>
    <w:p>
      <w:r>
        <w:rPr>
          <w:rFonts w:ascii="Arial" w:hAnsi="Arial"/>
          <w:b/>
        </w:rPr>
        <w:t xml:space="preserve">ARDFM: </w:t>
      </w:r>
      <w:r>
        <w:rPr>
          <w:rFonts w:ascii="Arial" w:hAnsi="Arial"/>
        </w:rPr>
        <w:t>gov.kz/memleket/entities/ardfm (Cơ quan quản lý chính)</w:t>
      </w:r>
    </w:p>
    <w:p>
      <w:r>
        <w:rPr>
          <w:rFonts w:ascii="Arial" w:hAnsi="Arial"/>
          <w:b/>
        </w:rPr>
        <w:t xml:space="preserve">E-licensing: </w:t>
      </w:r>
      <w:r>
        <w:rPr>
          <w:rFonts w:ascii="Arial" w:hAnsi="Arial"/>
        </w:rPr>
        <w:t>www.elicense.kz (Cổng cấp phép điện tử)</w:t>
      </w:r>
    </w:p>
    <w:p>
      <w:r>
        <w:rPr>
          <w:rFonts w:ascii="Arial" w:hAnsi="Arial"/>
          <w:b/>
        </w:rPr>
        <w:t xml:space="preserve">IC Centras: </w:t>
      </w:r>
      <w:r>
        <w:rPr>
          <w:rFonts w:ascii="Arial" w:hAnsi="Arial"/>
        </w:rPr>
        <w:t>Không rõ (Công ty dẫn đầu thị trường)</w:t>
      </w:r>
    </w:p>
    <w:p>
      <w:r>
        <w:rPr>
          <w:rFonts w:ascii="Arial" w:hAnsi="Arial"/>
          <w:b/>
        </w:rPr>
        <w:t xml:space="preserve">Eurasia Insurance: </w:t>
      </w:r>
      <w:r>
        <w:rPr>
          <w:rFonts w:ascii="Arial" w:hAnsi="Arial"/>
        </w:rPr>
        <w:t>Không rõ (Công ty phi nhân thọ lớn)</w:t>
      </w:r>
    </w:p>
    <w:p/>
    <w:p>
      <w:pPr>
        <w:pStyle w:val="Heading2"/>
        <w:jc w:val="left"/>
      </w:pPr>
      <w:r>
        <w:rPr>
          <w:rFonts w:ascii="Arial" w:hAnsi="Arial"/>
          <w:color w:val="003366"/>
        </w:rPr>
        <w:t>Philippines</w:t>
      </w:r>
    </w:p>
    <w:p>
      <w:r>
        <w:rPr>
          <w:rFonts w:ascii="Arial" w:hAnsi="Arial"/>
          <w:b/>
        </w:rPr>
        <w:t xml:space="preserve">Insurance Commission: </w:t>
      </w:r>
      <w:r>
        <w:rPr>
          <w:rFonts w:ascii="Arial" w:hAnsi="Arial"/>
        </w:rPr>
        <w:t>www.insurance.gov.ph (Cơ quan quản lý chính)</w:t>
      </w:r>
    </w:p>
    <w:p>
      <w:r>
        <w:rPr>
          <w:rFonts w:ascii="Arial" w:hAnsi="Arial"/>
          <w:b/>
        </w:rPr>
        <w:t xml:space="preserve">Pioneer Insurance: </w:t>
      </w:r>
      <w:r>
        <w:rPr>
          <w:rFonts w:ascii="Arial" w:hAnsi="Arial"/>
        </w:rPr>
        <w:t>Không rõ (Công ty dẫn đầu thị trường)</w:t>
      </w:r>
    </w:p>
    <w:p>
      <w:r>
        <w:rPr>
          <w:rFonts w:ascii="Arial" w:hAnsi="Arial"/>
          <w:b/>
        </w:rPr>
        <w:t xml:space="preserve">Malayan Insurance: </w:t>
      </w:r>
      <w:r>
        <w:rPr>
          <w:rFonts w:ascii="Arial" w:hAnsi="Arial"/>
        </w:rPr>
        <w:t>Không rõ (Công ty lớn thứ hai)</w:t>
      </w:r>
    </w:p>
    <w:p>
      <w:r>
        <w:rPr>
          <w:rFonts w:ascii="Arial" w:hAnsi="Arial"/>
          <w:b/>
        </w:rPr>
        <w:t xml:space="preserve">BDO Unibank: </w:t>
      </w:r>
      <w:r>
        <w:rPr>
          <w:rFonts w:ascii="Arial" w:hAnsi="Arial"/>
        </w:rPr>
        <w:t>www.bdo.com.ph (Đối tác chiến lược Vinfast)</w:t>
      </w:r>
    </w:p>
    <w:p/>
    <w:p>
      <w:pPr>
        <w:pStyle w:val="Heading1"/>
        <w:jc w:val="left"/>
      </w:pPr>
      <w:r>
        <w:rPr>
          <w:rFonts w:ascii="Arial" w:hAnsi="Arial"/>
          <w:color w:val="003366"/>
        </w:rPr>
        <w:t>PHỤ LỤC B: NGUỒN NGHIÊN CỨU</w:t>
      </w:r>
    </w:p>
    <w:p>
      <w:r>
        <w:rPr>
          <w:rFonts w:ascii="Arial" w:hAnsi="Arial"/>
        </w:rPr>
        <w:t>Báo cáo này được biên soạn từ các nguồn thứ cấp đáng tin cậy bao gồm:</w:t>
      </w:r>
    </w:p>
    <w:p>
      <w:pPr>
        <w:pStyle w:val="ListBullet"/>
      </w:pPr>
      <w:r>
        <w:rPr>
          <w:rFonts w:ascii="Arial" w:hAnsi="Arial"/>
          <w:sz w:val="22"/>
        </w:rPr>
        <w:t>Các ấn phẩm chính phủ chính thức (ARCA, ARDFM, Insurance Commission)</w:t>
      </w:r>
    </w:p>
    <w:p>
      <w:pPr>
        <w:pStyle w:val="ListBullet"/>
      </w:pPr>
      <w:r>
        <w:rPr>
          <w:rFonts w:ascii="Arial" w:hAnsi="Arial"/>
          <w:sz w:val="22"/>
        </w:rPr>
        <w:t>Cơ quan thương mại quốc tế (US Trade.gov)</w:t>
      </w:r>
    </w:p>
    <w:p>
      <w:pPr>
        <w:pStyle w:val="ListBullet"/>
      </w:pPr>
      <w:r>
        <w:rPr>
          <w:rFonts w:ascii="Arial" w:hAnsi="Arial"/>
          <w:sz w:val="22"/>
        </w:rPr>
        <w:t>Các ấn phẩm ngành bảo hiểm (Atlas Magazine, Insurance Journal, Reinsurance News)</w:t>
      </w:r>
    </w:p>
    <w:p>
      <w:pPr>
        <w:pStyle w:val="ListBullet"/>
      </w:pPr>
      <w:r>
        <w:rPr>
          <w:rFonts w:ascii="Arial" w:hAnsi="Arial"/>
          <w:sz w:val="22"/>
        </w:rPr>
        <w:t>Nền tảng phân tích pháp lý (HG.org, Lexology, Chambers)</w:t>
      </w:r>
    </w:p>
    <w:p>
      <w:pPr>
        <w:pStyle w:val="ListBullet"/>
      </w:pPr>
      <w:r>
        <w:rPr>
          <w:rFonts w:ascii="Arial" w:hAnsi="Arial"/>
          <w:sz w:val="22"/>
        </w:rPr>
        <w:t>Các công ty nghiên cứu thị trường (GlobalData, Axco, Statista)</w:t>
      </w:r>
    </w:p>
    <w:p>
      <w:pPr>
        <w:pStyle w:val="ListBullet"/>
      </w:pPr>
      <w:r>
        <w:rPr>
          <w:rFonts w:ascii="Arial" w:hAnsi="Arial"/>
          <w:sz w:val="22"/>
        </w:rPr>
        <w:t>Cơ quan an sinh xã hội (SSA.gov)</w:t>
      </w:r>
    </w:p>
    <w:p>
      <w:pPr>
        <w:pStyle w:val="ListBullet"/>
      </w:pPr>
      <w:r>
        <w:rPr>
          <w:rFonts w:ascii="Arial" w:hAnsi="Arial"/>
          <w:sz w:val="22"/>
        </w:rPr>
        <w:t>Báo cáo chính thức của Vinfast</w:t>
      </w:r>
    </w:p>
    <w:p/>
    <w:p>
      <w:r>
        <w:rPr>
          <w:rFonts w:ascii="Arial" w:hAnsi="Arial"/>
        </w:rPr>
        <w:t>Tất cả dữ liệu trong vòng 12 tháng (2025-2026). Các báo cáo nghiên cứu chi tiết đầy đủ có sẵn bằng tiếng Anh.</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Trang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