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IBM Plex Sans" w:hAnsi="IBM Plex Sans"/>
          <w:b/>
          <w:sz w:val="32"/>
        </w:rPr>
        <w:t>BIÊN BẢN HỌP</w:t>
      </w:r>
    </w:p>
    <w:p>
      <w:pPr>
        <w:pStyle w:val="Heading2"/>
        <w:jc w:val="center"/>
      </w:pPr>
      <w:r>
        <w:rPr>
          <w:rFonts w:ascii="IBM Plex Sans" w:hAnsi="IBM Plex Sans"/>
          <w:sz w:val="28"/>
        </w:rPr>
        <w:t>Triển khai SLA theo dõi quy trình bồi thường bảo hiểm xe VinFast</w:t>
      </w:r>
    </w:p>
    <w:p/>
    <w:p>
      <w:pPr>
        <w:spacing w:line="276" w:lineRule="auto"/>
      </w:pPr>
      <w:r>
        <w:rPr>
          <w:b/>
        </w:rPr>
        <w:t xml:space="preserve">Ngày họp: </w:t>
      </w:r>
      <w:r>
        <w:t>06.02.2026</w:t>
        <w:br/>
      </w:r>
      <w:r>
        <w:rPr>
          <w:b/>
        </w:rPr>
        <w:t xml:space="preserve">Loại cuộc họp: </w:t>
      </w:r>
      <w:r>
        <w:t>Họp điều phối liên đơn vị</w:t>
      </w:r>
    </w:p>
    <w:p/>
    <w:p>
      <w:pPr>
        <w:pStyle w:val="Heading1"/>
      </w:pPr>
      <w:r>
        <w:t>I. THÀNH PHẦN THAM DỰ</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IBM Plex Sans" w:hAnsi="IBM Plex Sans"/>
                <w:b/>
              </w:rPr>
              <w:t>Họ tên</w:t>
            </w:r>
          </w:p>
        </w:tc>
        <w:tc>
          <w:tcPr>
            <w:tcW w:type="dxa" w:w="2880"/>
          </w:tcPr>
          <w:p>
            <w:r>
              <w:rPr>
                <w:rFonts w:ascii="IBM Plex Sans" w:hAnsi="IBM Plex Sans"/>
                <w:b/>
              </w:rPr>
              <w:t>Đơn vị</w:t>
            </w:r>
          </w:p>
        </w:tc>
        <w:tc>
          <w:tcPr>
            <w:tcW w:type="dxa" w:w="2880"/>
          </w:tcPr>
          <w:p>
            <w:r>
              <w:rPr>
                <w:rFonts w:ascii="IBM Plex Sans" w:hAnsi="IBM Plex Sans"/>
                <w:b/>
              </w:rPr>
              <w:t>Vai trò</w:t>
            </w:r>
          </w:p>
        </w:tc>
      </w:tr>
      <w:tr>
        <w:tc>
          <w:tcPr>
            <w:tcW w:type="dxa" w:w="2880"/>
          </w:tcPr>
          <w:p>
            <w:r>
              <w:rPr>
                <w:rFonts w:ascii="IBM Plex Sans" w:hAnsi="IBM Plex Sans"/>
              </w:rPr>
              <w:t>Bà LA</w:t>
            </w:r>
          </w:p>
        </w:tc>
        <w:tc>
          <w:tcPr>
            <w:tcW w:type="dxa" w:w="2880"/>
          </w:tcPr>
          <w:p>
            <w:r>
              <w:rPr>
                <w:rFonts w:ascii="IBM Plex Sans" w:hAnsi="IBM Plex Sans"/>
              </w:rPr>
              <w:t>BeeVN</w:t>
            </w:r>
          </w:p>
        </w:tc>
        <w:tc>
          <w:tcPr>
            <w:tcW w:type="dxa" w:w="2880"/>
          </w:tcPr>
          <w:p>
            <w:r>
              <w:rPr>
                <w:rFonts w:ascii="IBM Plex Sans" w:hAnsi="IBM Plex Sans"/>
              </w:rPr>
              <w:t>Chủ trì cuộc họp</w:t>
            </w:r>
          </w:p>
        </w:tc>
      </w:tr>
      <w:tr>
        <w:tc>
          <w:tcPr>
            <w:tcW w:type="dxa" w:w="2880"/>
          </w:tcPr>
          <w:p>
            <w:r>
              <w:rPr>
                <w:rFonts w:ascii="IBM Plex Sans" w:hAnsi="IBM Plex Sans"/>
              </w:rPr>
              <w:t>Bà Noi</w:t>
            </w:r>
          </w:p>
        </w:tc>
        <w:tc>
          <w:tcPr>
            <w:tcW w:type="dxa" w:w="2880"/>
          </w:tcPr>
          <w:p>
            <w:r>
              <w:rPr>
                <w:rFonts w:ascii="IBM Plex Sans" w:hAnsi="IBM Plex Sans"/>
              </w:rPr>
              <w:t>VinFast</w:t>
            </w:r>
          </w:p>
        </w:tc>
        <w:tc>
          <w:tcPr>
            <w:tcW w:type="dxa" w:w="2880"/>
          </w:tcPr>
          <w:p>
            <w:r>
              <w:rPr>
                <w:rFonts w:ascii="IBM Plex Sans" w:hAnsi="IBM Plex Sans"/>
              </w:rPr>
              <w:t>Đại diện cấp cao, làm rõ yêu cầu</w:t>
            </w:r>
          </w:p>
        </w:tc>
      </w:tr>
      <w:tr>
        <w:tc>
          <w:tcPr>
            <w:tcW w:type="dxa" w:w="2880"/>
          </w:tcPr>
          <w:p>
            <w:r>
              <w:rPr>
                <w:rFonts w:ascii="IBM Plex Sans" w:hAnsi="IBM Plex Sans"/>
              </w:rPr>
              <w:t>Anh Lam</w:t>
            </w:r>
          </w:p>
        </w:tc>
        <w:tc>
          <w:tcPr>
            <w:tcW w:type="dxa" w:w="2880"/>
          </w:tcPr>
          <w:p>
            <w:r>
              <w:rPr>
                <w:rFonts w:ascii="IBM Plex Sans" w:hAnsi="IBM Plex Sans"/>
              </w:rPr>
              <w:t>BeeVN Technology</w:t>
            </w:r>
          </w:p>
        </w:tc>
        <w:tc>
          <w:tcPr>
            <w:tcW w:type="dxa" w:w="2880"/>
          </w:tcPr>
          <w:p>
            <w:r>
              <w:rPr>
                <w:rFonts w:ascii="IBM Plex Sans" w:hAnsi="IBM Plex Sans"/>
              </w:rPr>
              <w:t>Trưởng nhóm kỹ thuật</w:t>
            </w:r>
          </w:p>
        </w:tc>
      </w:tr>
      <w:tr>
        <w:tc>
          <w:tcPr>
            <w:tcW w:type="dxa" w:w="2880"/>
          </w:tcPr>
          <w:p>
            <w:r>
              <w:rPr>
                <w:rFonts w:ascii="IBM Plex Sans" w:hAnsi="IBM Plex Sans"/>
              </w:rPr>
              <w:t>Anh Bao</w:t>
            </w:r>
          </w:p>
        </w:tc>
        <w:tc>
          <w:tcPr>
            <w:tcW w:type="dxa" w:w="2880"/>
          </w:tcPr>
          <w:p>
            <w:r>
              <w:rPr>
                <w:rFonts w:ascii="IBM Plex Sans" w:hAnsi="IBM Plex Sans"/>
              </w:rPr>
              <w:t>VinFast IT (VinSF)</w:t>
            </w:r>
          </w:p>
        </w:tc>
        <w:tc>
          <w:tcPr>
            <w:tcW w:type="dxa" w:w="2880"/>
          </w:tcPr>
          <w:p>
            <w:r>
              <w:rPr>
                <w:rFonts w:ascii="IBM Plex Sans" w:hAnsi="IBM Plex Sans"/>
              </w:rPr>
              <w:t>Đầu mối CNTT</w:t>
            </w:r>
          </w:p>
        </w:tc>
      </w:tr>
      <w:tr>
        <w:tc>
          <w:tcPr>
            <w:tcW w:type="dxa" w:w="2880"/>
          </w:tcPr>
          <w:p>
            <w:r>
              <w:rPr>
                <w:rFonts w:ascii="IBM Plex Sans" w:hAnsi="IBM Plex Sans"/>
              </w:rPr>
              <w:t>Anh Hon</w:t>
            </w:r>
          </w:p>
        </w:tc>
        <w:tc>
          <w:tcPr>
            <w:tcW w:type="dxa" w:w="2880"/>
          </w:tcPr>
          <w:p>
            <w:r>
              <w:rPr>
                <w:rFonts w:ascii="IBM Plex Sans" w:hAnsi="IBM Plex Sans"/>
              </w:rPr>
              <w:t>VinFast Aftersales</w:t>
            </w:r>
          </w:p>
        </w:tc>
        <w:tc>
          <w:tcPr>
            <w:tcW w:type="dxa" w:w="2880"/>
          </w:tcPr>
          <w:p>
            <w:r>
              <w:rPr>
                <w:rFonts w:ascii="IBM Plex Sans" w:hAnsi="IBM Plex Sans"/>
              </w:rPr>
              <w:t>Trưởng dự án (được phân công)</w:t>
            </w:r>
          </w:p>
        </w:tc>
      </w:tr>
      <w:tr>
        <w:tc>
          <w:tcPr>
            <w:tcW w:type="dxa" w:w="2880"/>
          </w:tcPr>
          <w:p>
            <w:r>
              <w:rPr>
                <w:rFonts w:ascii="IBM Plex Sans" w:hAnsi="IBM Plex Sans"/>
              </w:rPr>
              <w:t>Anh Tien</w:t>
            </w:r>
          </w:p>
        </w:tc>
        <w:tc>
          <w:tcPr>
            <w:tcW w:type="dxa" w:w="2880"/>
          </w:tcPr>
          <w:p>
            <w:r>
              <w:rPr>
                <w:rFonts w:ascii="IBM Plex Sans" w:hAnsi="IBM Plex Sans"/>
              </w:rPr>
              <w:t>TBH (Đại lý bảo hiểm)</w:t>
            </w:r>
          </w:p>
        </w:tc>
        <w:tc>
          <w:tcPr>
            <w:tcW w:type="dxa" w:w="2880"/>
          </w:tcPr>
          <w:p>
            <w:r>
              <w:rPr>
                <w:rFonts w:ascii="IBM Plex Sans" w:hAnsi="IBM Plex Sans"/>
              </w:rPr>
              <w:t>Đầu mối liên hệ (được phân công)</w:t>
            </w:r>
          </w:p>
        </w:tc>
      </w:tr>
    </w:tbl>
    <w:p/>
    <w:p>
      <w:r>
        <w:rPr>
          <w:i/>
        </w:rPr>
        <w:t xml:space="preserve">Ghi chú: </w:t>
      </w:r>
      <w:r>
        <w:rPr>
          <w:rFonts w:ascii="IBM Plex Sans" w:hAnsi="IBM Plex Sans"/>
        </w:rPr>
        <w:t>Có sự tham gia của nhóm vận hành xưởng dịch vụ VinFast. BeeVN hiện đang hợp tác với 10 công ty bảo hiểm.</w:t>
      </w:r>
    </w:p>
    <w:p/>
    <w:p>
      <w:pPr>
        <w:pStyle w:val="Heading1"/>
      </w:pPr>
      <w:r>
        <w:t>II. NỘI DUNG CUỘC HỌP</w:t>
      </w:r>
    </w:p>
    <w:p>
      <w:pPr>
        <w:pStyle w:val="Heading2"/>
      </w:pPr>
      <w:r>
        <w:t>1. Phát biểu khai mạc - Bà LA (BeeVN)</w:t>
      </w:r>
    </w:p>
    <w:p>
      <w:r>
        <w:t>Bối cảnh:</w:t>
      </w:r>
    </w:p>
    <w:p>
      <w:pPr>
        <w:pStyle w:val="ListBullet"/>
      </w:pPr>
      <w:r>
        <w:t>10 công ty bảo hiểm đang tham gia chương trình hợp tác</w:t>
      </w:r>
    </w:p>
    <w:p>
      <w:pPr>
        <w:pStyle w:val="ListBullet"/>
      </w:pPr>
      <w:r>
        <w:t>Các mốc thời gian SLA hiện tại (1 giờ, 2 giờ, 5 giờ) còn mơ hồ và khó thực thi</w:t>
      </w:r>
    </w:p>
    <w:p/>
    <w:p>
      <w:r>
        <w:t>Nguyên nhân chưa đạt được SLA:</w:t>
      </w:r>
    </w:p>
    <w:p>
      <w:pPr>
        <w:pStyle w:val="ListNumber"/>
      </w:pPr>
      <w:r>
        <w:t>Thiếu hướng dẫn tiêu chuẩn hóa cho đội ngũ vận hành - Tài xế không nhận được chỉ dẫn rõ ràng về quy trình xử lý khi có sự cố</w:t>
      </w:r>
    </w:p>
    <w:p>
      <w:pPr>
        <w:pStyle w:val="ListNumber"/>
      </w:pPr>
      <w:r>
        <w:t>Không có đồng hành trong quá trình giải quyết bồi thường - Tài xế phải tự xử lý toàn bộ quy trình bảo hiểm</w:t>
      </w:r>
    </w:p>
    <w:p/>
    <w:p>
      <w:r>
        <w:t>Ví dụ thực tế được đề cập:</w:t>
      </w:r>
    </w:p>
    <w:p>
      <w:pPr>
        <w:ind w:left="720"/>
      </w:pPr>
      <w:r>
        <w:t>Một xe VF5 bị ngập nước. Phòng Aftersales và Pháp chế không cung cấp tư vấn kịp thời cho khách hàng. Thiếu vắng quy trình tư vấn phối hợp.</w:t>
      </w:r>
    </w:p>
    <w:p/>
    <w:p>
      <w:r>
        <w:t>Mục tiêu cuộc họp:</w:t>
      </w:r>
    </w:p>
    <w:p>
      <w:pPr>
        <w:pStyle w:val="ListBullet"/>
      </w:pPr>
      <w:r>
        <w:t>Cải thiện kết quả giải quyết bồi thường cho khách hàng VinFast</w:t>
      </w:r>
    </w:p>
    <w:p>
      <w:pPr>
        <w:pStyle w:val="ListBullet"/>
      </w:pPr>
      <w:r>
        <w:t>Rà soát lại các mốc thời gian SLA đã thiết lập với công ty bảo hiểm</w:t>
      </w:r>
    </w:p>
    <w:p>
      <w:pPr>
        <w:pStyle w:val="ListBullet"/>
      </w:pPr>
      <w:r>
        <w:t>Làm rõ: VinFast vẫn cần đảm bảo tài liệu và luồng thông tin đầy đủ từ phía mình</w:t>
      </w:r>
    </w:p>
    <w:p>
      <w:pPr>
        <w:pStyle w:val="ListBullet"/>
      </w:pPr>
      <w:r>
        <w:t>Yêu cầu từ Bà LA đến anh Bao: Xác định rõ VinFast IT muốn làm gì, và làm rõ vai trò của từng bên (Ma trận phân công trách nhiệm)</w:t>
      </w:r>
    </w:p>
    <w:p/>
    <w:p>
      <w:pPr>
        <w:pStyle w:val="Heading2"/>
      </w:pPr>
      <w:r>
        <w:t>2. Làm rõ yêu cầu - Bà Noi (VinFast)</w:t>
      </w:r>
    </w:p>
    <w:p>
      <w:r>
        <w:t>Nhu cầu cốt lõi của VinFast:</w:t>
      </w:r>
    </w:p>
    <w:p>
      <w:pPr>
        <w:ind w:left="720"/>
      </w:pPr>
      <w:r>
        <w:rPr>
          <w:b/>
        </w:rPr>
        <w:t>Theo dõi quy trình sửa chữa tại xưởng dịch vụ đối với xe liên quan bảo hiểm - nhanh chóng và chính xác.</w:t>
      </w:r>
    </w:p>
    <w:p/>
    <w:p>
      <w:r>
        <w:t>Yêu cầu cụ thể:</w:t>
      </w:r>
    </w:p>
    <w:p>
      <w:pPr>
        <w:pStyle w:val="ListNumber"/>
      </w:pPr>
      <w:r>
        <w:t>Cập nhật trạng thái tự động - Xe vào xưởng khi nào? Xưởng gửi thông tin cho bảo hiểm khi nào? Bảo hiểm phản hồi khi nào?</w:t>
      </w:r>
    </w:p>
    <w:p>
      <w:pPr>
        <w:pStyle w:val="ListNumber"/>
      </w:pPr>
      <w:r>
        <w:t>Danh sách tài liệu tiêu chuẩn hóa - Tự động theo dõi, không thủ công</w:t>
      </w:r>
    </w:p>
    <w:p>
      <w:pPr>
        <w:pStyle w:val="ListNumber"/>
      </w:pPr>
      <w:r>
        <w:t>Xác định điểm nghẽn - Tại bất kỳ thời điểm nào, biết được ai đang là nút thắt cổ chai: công ty bảo hiểm? VinFast nội bộ? Xưởng dịch vụ?</w:t>
      </w:r>
    </w:p>
    <w:p>
      <w:pPr>
        <w:pStyle w:val="ListNumber"/>
      </w:pPr>
      <w:r>
        <w:t>Phạm vi quy trình đầu-cuối - Từ khi xe vào đến khi xe ra (không chỉ phần liên quan bảo hiểm)</w:t>
      </w:r>
    </w:p>
    <w:p/>
    <w:p>
      <w:pPr>
        <w:pStyle w:val="Heading2"/>
      </w:pPr>
      <w:r>
        <w:t>3. Phản hồi kỹ thuật - Anh Lam (BeeVN Technology)</w:t>
      </w:r>
    </w:p>
    <w:p>
      <w:r>
        <w:t>Điều kiện tiên quyết cho hệ thống đầu-cuối:</w:t>
      </w:r>
    </w:p>
    <w:p>
      <w:pPr>
        <w:pStyle w:val="ListNumber"/>
      </w:pPr>
      <w:r>
        <w:t>Cơ sở dữ liệu quản lý tài sản - Dữ liệu tập trung về xe, phụ tùng, phụ kiện và hợp đồng bảo hiểm</w:t>
      </w:r>
    </w:p>
    <w:p>
      <w:pPr>
        <w:pStyle w:val="ListNumber"/>
      </w:pPr>
      <w:r>
        <w:t>Quy trình đầu-cuối tiêu chuẩn hóa - Từ khi xảy ra sự cố đến khi xe trở lại hoạt động</w:t>
      </w:r>
    </w:p>
    <w:p>
      <w:pPr>
        <w:pStyle w:val="ListNumber"/>
      </w:pPr>
      <w:r>
        <w:t>Kiểm kê hệ thống - Lập bản đồ các hệ thống hiện tại của tất cả các bên (VinFast, BeeVN, công ty bảo hiểm) để xác định phần nào đã được phủ và khoảng trống còn lại</w:t>
      </w:r>
    </w:p>
    <w:p/>
    <w:p>
      <w:r>
        <w:t>Hai nguyên tắc không thể thương lượng:</w:t>
      </w:r>
    </w:p>
    <w:p>
      <w:pPr>
        <w:ind w:left="720"/>
      </w:pPr>
      <w:r>
        <w:rPr>
          <w:b/>
        </w:rPr>
        <w:t xml:space="preserve">Nguyên tắc 1: </w:t>
      </w:r>
      <w:r>
        <w:t>Dữ liệu tài sản và dữ liệu bảo hiểm PHẢI được quản lý tập trung. Dữ liệu phân tán sẽ khiến việc cải thiện trở nên bất khả thi.</w:t>
      </w:r>
    </w:p>
    <w:p>
      <w:pPr>
        <w:ind w:left="720"/>
      </w:pPr>
      <w:r>
        <w:rPr>
          <w:b/>
        </w:rPr>
        <w:t xml:space="preserve">Nguyên tắc 2: </w:t>
      </w:r>
      <w:r>
        <w:t>Phải có MỘT bên chịu trách nhiệm duy nhất cho toàn bộ quy trình đầu-cuối. Bên này là thực thể duy nhất có thể định nghĩa và thực thi SLA.</w:t>
      </w:r>
    </w:p>
    <w:p/>
    <w:p>
      <w:pPr>
        <w:pStyle w:val="Heading2"/>
      </w:pPr>
      <w:r>
        <w:t>4. Trao đổi và thảo luận</w:t>
      </w:r>
    </w:p>
    <w:p>
      <w:r>
        <w:t>Câu hỏi từ anh Bao (VinFast IT):</w:t>
      </w:r>
    </w:p>
    <w:p>
      <w:pPr>
        <w:ind w:left="720"/>
      </w:pPr>
      <w:r>
        <w:rPr>
          <w:i/>
        </w:rPr>
        <w:t>"Bee đã từng triển khai hệ thống này chưa, hay đây là lần đầu tiên?"</w:t>
      </w:r>
    </w:p>
    <w:p/>
    <w:p>
      <w:r>
        <w:t>Phản hồi từ Bà LA (BeeVN):</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rFonts w:ascii="IBM Plex Sans" w:hAnsi="IBM Plex Sans"/>
                <w:b/>
              </w:rPr>
              <w:t>Khả năng</w:t>
            </w:r>
          </w:p>
        </w:tc>
        <w:tc>
          <w:tcPr>
            <w:tcW w:type="dxa" w:w="4320"/>
          </w:tcPr>
          <w:p>
            <w:r>
              <w:rPr>
                <w:rFonts w:ascii="IBM Plex Sans" w:hAnsi="IBM Plex Sans"/>
                <w:b/>
              </w:rPr>
              <w:t>Trạng thái</w:t>
            </w:r>
          </w:p>
        </w:tc>
      </w:tr>
      <w:tr>
        <w:tc>
          <w:tcPr>
            <w:tcW w:type="dxa" w:w="4320"/>
          </w:tcPr>
          <w:p>
            <w:r>
              <w:rPr>
                <w:rFonts w:ascii="IBM Plex Sans" w:hAnsi="IBM Plex Sans"/>
              </w:rPr>
              <w:t>Kết nối với công ty bảo hiểm</w:t>
            </w:r>
          </w:p>
        </w:tc>
        <w:tc>
          <w:tcPr>
            <w:tcW w:type="dxa" w:w="4320"/>
          </w:tcPr>
          <w:p>
            <w:r>
              <w:rPr>
                <w:rFonts w:ascii="IBM Plex Sans" w:hAnsi="IBM Plex Sans"/>
              </w:rPr>
              <w:t>10 công ty đã kết nối</w:t>
            </w:r>
          </w:p>
        </w:tc>
      </w:tr>
      <w:tr>
        <w:tc>
          <w:tcPr>
            <w:tcW w:type="dxa" w:w="4320"/>
          </w:tcPr>
          <w:p>
            <w:r>
              <w:rPr>
                <w:rFonts w:ascii="IBM Plex Sans" w:hAnsi="IBM Plex Sans"/>
              </w:rPr>
              <w:t>Theo dõi phương tiện</w:t>
            </w:r>
          </w:p>
        </w:tc>
        <w:tc>
          <w:tcPr>
            <w:tcW w:type="dxa" w:w="4320"/>
          </w:tcPr>
          <w:p>
            <w:r>
              <w:rPr>
                <w:rFonts w:ascii="IBM Plex Sans" w:hAnsi="IBM Plex Sans"/>
              </w:rPr>
              <w:t>Đang giám sát tất cả xe có GSM</w:t>
            </w:r>
          </w:p>
        </w:tc>
      </w:tr>
      <w:tr>
        <w:tc>
          <w:tcPr>
            <w:tcW w:type="dxa" w:w="4320"/>
          </w:tcPr>
          <w:p>
            <w:r>
              <w:rPr>
                <w:rFonts w:ascii="IBM Plex Sans" w:hAnsi="IBM Plex Sans"/>
              </w:rPr>
              <w:t>Thỏa thuận pháp lý</w:t>
            </w:r>
          </w:p>
        </w:tc>
        <w:tc>
          <w:tcPr>
            <w:tcW w:type="dxa" w:w="4320"/>
          </w:tcPr>
          <w:p>
            <w:r>
              <w:rPr>
                <w:rFonts w:ascii="IBM Plex Sans" w:hAnsi="IBM Plex Sans"/>
              </w:rPr>
              <w:t>Đã ký NDA với các công ty bảo hiểm để tích hợp</w:t>
            </w:r>
          </w:p>
        </w:tc>
      </w:tr>
      <w:tr>
        <w:tc>
          <w:tcPr>
            <w:tcW w:type="dxa" w:w="4320"/>
          </w:tcPr>
          <w:p>
            <w:r>
              <w:rPr>
                <w:rFonts w:ascii="IBM Plex Sans" w:hAnsi="IBM Plex Sans"/>
              </w:rPr>
              <w:t>Hiểu biết quy trình</w:t>
            </w:r>
          </w:p>
        </w:tc>
        <w:tc>
          <w:tcPr>
            <w:tcW w:type="dxa" w:w="4320"/>
          </w:tcPr>
          <w:p>
            <w:r>
              <w:rPr>
                <w:rFonts w:ascii="IBM Plex Sans" w:hAnsi="IBM Plex Sans"/>
              </w:rPr>
              <w:t>Các công ty bảo hiểm đã chia sẻ quy trình nội bộ</w:t>
            </w:r>
          </w:p>
        </w:tc>
      </w:tr>
    </w:tbl>
    <w:p/>
    <w:p>
      <w:r>
        <w:t>Chia sẻ từ anh Bao (VinFast IT):</w:t>
      </w:r>
    </w:p>
    <w:p>
      <w:pPr>
        <w:ind w:left="720"/>
      </w:pPr>
      <w:r>
        <w:t>VinFast (thông qua VinSF) có sáng kiến chiến lược tiêu chuẩn hóa mọi thứ vào DMS (Hệ thống quản lý đại lý). Tất cả thông tin về đại lý, dịch vụ và bảo hiểm sẽ được tích hợp vào DMS.</w:t>
      </w:r>
    </w:p>
    <w:p/>
    <w:p>
      <w:pPr>
        <w:pStyle w:val="Heading2"/>
      </w:pPr>
      <w:r>
        <w:t>5. Thông tin bổ sung từ anh Hon (VinFast Aftersales)</w:t>
      </w:r>
    </w:p>
    <w:p>
      <w:r>
        <w:t>Các xưởng dịch vụ (XDV) hiện đang sử dụng hai phần mềm nội bộ riêng biệt. VinFast có dự án đang triển khai nhằm hợp nhất tất cả phần mềm xưởng phụ vào DMS. VinFast Aftersales mong muốn các xưởng hoạt động độc quyền trên DMS.</w:t>
      </w:r>
    </w:p>
    <w:p/>
    <w:p>
      <w:r>
        <w:rPr>
          <w:b/>
        </w:rPr>
        <w:t xml:space="preserve">Ý nghĩa: </w:t>
      </w:r>
      <w:r>
        <w:t>Khi việc hợp nhất DMS hoàn tất, một điểm tích hợp duy nhất (DMS → Bee-Digital) sẽ bao phủ toàn bộ dữ liệu xưởng.</w:t>
      </w:r>
    </w:p>
    <w:p/>
    <w:p>
      <w:pPr>
        <w:pStyle w:val="Heading1"/>
      </w:pPr>
      <w:r>
        <w:t>III. KẾT LUẬN</w:t>
      </w:r>
    </w:p>
    <w:p>
      <w:pPr>
        <w:pStyle w:val="ListBullet"/>
      </w:pPr>
      <w:r>
        <w:rPr>
          <w:b/>
        </w:rPr>
        <w:t>Kết nối DMS với Bee-Digital là khả thi</w:t>
      </w:r>
    </w:p>
    <w:p>
      <w:pPr>
        <w:pStyle w:val="ListBullet"/>
      </w:pPr>
      <w:r>
        <w:t>Cần có một bên chịu trách nhiệm duy nhất cho quy trình đầu-cuối</w:t>
      </w:r>
    </w:p>
    <w:p>
      <w:pPr>
        <w:pStyle w:val="ListBullet"/>
      </w:pPr>
      <w:r>
        <w:t>Dữ liệu tập trung là điều kiện tiên quyết để cải thiện quy trình</w:t>
      </w:r>
    </w:p>
    <w:p>
      <w:pPr>
        <w:pStyle w:val="ListBullet"/>
      </w:pPr>
      <w:r>
        <w:t>Cần rà soát và lập bản đồ hệ thống hiện tại của các bên liên quan</w:t>
      </w:r>
    </w:p>
    <w:p/>
    <w:p>
      <w:pPr>
        <w:pStyle w:val="Heading1"/>
      </w:pPr>
      <w:r>
        <w:t>IV. PHÂN CÔNG CÔNG VIỆC</w:t>
      </w:r>
    </w:p>
    <w:tbl>
      <w:tblPr>
        <w:tblStyle w:val="LightGrid-Accent1"/>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IBM Plex Sans" w:hAnsi="IBM Plex Sans"/>
                <w:b/>
              </w:rPr>
              <w:t>Đơn vị</w:t>
            </w:r>
          </w:p>
        </w:tc>
        <w:tc>
          <w:tcPr>
            <w:tcW w:type="dxa" w:w="2880"/>
          </w:tcPr>
          <w:p>
            <w:r>
              <w:rPr>
                <w:rFonts w:ascii="IBM Plex Sans" w:hAnsi="IBM Plex Sans"/>
                <w:b/>
              </w:rPr>
              <w:t>Người phụ trách</w:t>
            </w:r>
          </w:p>
        </w:tc>
        <w:tc>
          <w:tcPr>
            <w:tcW w:type="dxa" w:w="2880"/>
          </w:tcPr>
          <w:p>
            <w:r>
              <w:rPr>
                <w:rFonts w:ascii="IBM Plex Sans" w:hAnsi="IBM Plex Sans"/>
                <w:b/>
              </w:rPr>
              <w:t>Vai trò</w:t>
            </w:r>
          </w:p>
        </w:tc>
      </w:tr>
      <w:tr>
        <w:tc>
          <w:tcPr>
            <w:tcW w:type="dxa" w:w="2880"/>
          </w:tcPr>
          <w:p>
            <w:r>
              <w:rPr>
                <w:rFonts w:ascii="IBM Plex Sans" w:hAnsi="IBM Plex Sans"/>
              </w:rPr>
              <w:t>VinFast Aftersales</w:t>
            </w:r>
          </w:p>
        </w:tc>
        <w:tc>
          <w:tcPr>
            <w:tcW w:type="dxa" w:w="2880"/>
          </w:tcPr>
          <w:p>
            <w:r>
              <w:rPr>
                <w:rFonts w:ascii="IBM Plex Sans" w:hAnsi="IBM Plex Sans"/>
              </w:rPr>
              <w:t>Anh Hon</w:t>
            </w:r>
          </w:p>
        </w:tc>
        <w:tc>
          <w:tcPr>
            <w:tcW w:type="dxa" w:w="2880"/>
          </w:tcPr>
          <w:p>
            <w:r>
              <w:rPr>
                <w:rFonts w:ascii="IBM Plex Sans" w:hAnsi="IBM Plex Sans"/>
              </w:rPr>
              <w:t>Trưởng dự án</w:t>
            </w:r>
          </w:p>
        </w:tc>
      </w:tr>
      <w:tr>
        <w:tc>
          <w:tcPr>
            <w:tcW w:type="dxa" w:w="2880"/>
          </w:tcPr>
          <w:p>
            <w:r>
              <w:rPr>
                <w:rFonts w:ascii="IBM Plex Sans" w:hAnsi="IBM Plex Sans"/>
              </w:rPr>
              <w:t>TBH (Đại lý bảo hiểm)</w:t>
            </w:r>
          </w:p>
        </w:tc>
        <w:tc>
          <w:tcPr>
            <w:tcW w:type="dxa" w:w="2880"/>
          </w:tcPr>
          <w:p>
            <w:r>
              <w:rPr>
                <w:rFonts w:ascii="IBM Plex Sans" w:hAnsi="IBM Plex Sans"/>
              </w:rPr>
              <w:t>Anh Tien</w:t>
            </w:r>
          </w:p>
        </w:tc>
        <w:tc>
          <w:tcPr>
            <w:tcW w:type="dxa" w:w="2880"/>
          </w:tcPr>
          <w:p>
            <w:r>
              <w:rPr>
                <w:rFonts w:ascii="IBM Plex Sans" w:hAnsi="IBM Plex Sans"/>
              </w:rPr>
              <w:t>Liên kết bảo hiểm</w:t>
            </w:r>
          </w:p>
        </w:tc>
      </w:tr>
      <w:tr>
        <w:tc>
          <w:tcPr>
            <w:tcW w:type="dxa" w:w="2880"/>
          </w:tcPr>
          <w:p>
            <w:r>
              <w:rPr>
                <w:rFonts w:ascii="IBM Plex Sans" w:hAnsi="IBM Plex Sans"/>
              </w:rPr>
              <w:t>VinFast IT (VinSF)</w:t>
            </w:r>
          </w:p>
        </w:tc>
        <w:tc>
          <w:tcPr>
            <w:tcW w:type="dxa" w:w="2880"/>
          </w:tcPr>
          <w:p>
            <w:r>
              <w:rPr>
                <w:rFonts w:ascii="IBM Plex Sans" w:hAnsi="IBM Plex Sans"/>
              </w:rPr>
              <w:t>Anh Bao</w:t>
            </w:r>
          </w:p>
        </w:tc>
        <w:tc>
          <w:tcPr>
            <w:tcW w:type="dxa" w:w="2880"/>
          </w:tcPr>
          <w:p>
            <w:r>
              <w:rPr>
                <w:rFonts w:ascii="IBM Plex Sans" w:hAnsi="IBM Plex Sans"/>
              </w:rPr>
              <w:t>Tích hợp CNTT/hệ thống</w:t>
            </w:r>
          </w:p>
        </w:tc>
      </w:tr>
      <w:tr>
        <w:tc>
          <w:tcPr>
            <w:tcW w:type="dxa" w:w="2880"/>
          </w:tcPr>
          <w:p>
            <w:r>
              <w:rPr>
                <w:rFonts w:ascii="IBM Plex Sans" w:hAnsi="IBM Plex Sans"/>
              </w:rPr>
              <w:t>Bee-Digital</w:t>
            </w:r>
          </w:p>
        </w:tc>
        <w:tc>
          <w:tcPr>
            <w:tcW w:type="dxa" w:w="2880"/>
          </w:tcPr>
          <w:p>
            <w:r>
              <w:rPr>
                <w:rFonts w:ascii="IBM Plex Sans" w:hAnsi="IBM Plex Sans"/>
              </w:rPr>
              <w:t>Chưa phân công</w:t>
            </w:r>
          </w:p>
        </w:tc>
        <w:tc>
          <w:tcPr>
            <w:tcW w:type="dxa" w:w="2880"/>
          </w:tcPr>
          <w:p>
            <w:r>
              <w:rPr>
                <w:rFonts w:ascii="IBM Plex Sans" w:hAnsi="IBM Plex Sans"/>
              </w:rPr>
              <w:t>Chưa xác định</w:t>
            </w:r>
          </w:p>
        </w:tc>
      </w:tr>
    </w:tbl>
    <w:p/>
    <w:p>
      <w:pPr>
        <w:pStyle w:val="Heading1"/>
      </w:pPr>
      <w:r>
        <w:t>V. GHI CHÚ</w:t>
      </w:r>
    </w:p>
    <w:p>
      <w:pPr>
        <w:pStyle w:val="ListBullet"/>
      </w:pPr>
      <w:r>
        <w:t>Tiến độ hợp nhất DMS của VinFast chưa được xác định cụ thể</w:t>
      </w:r>
    </w:p>
    <w:p>
      <w:pPr>
        <w:pStyle w:val="ListBullet"/>
      </w:pPr>
      <w:r>
        <w:t>Cần bổ nhiệm người phụ trách từ phía Bee-Digital</w:t>
      </w:r>
    </w:p>
    <w:p>
      <w:pPr>
        <w:pStyle w:val="ListBullet"/>
      </w:pPr>
      <w:r>
        <w:t>Phạm vi dự án có thể mở rộng từ chỉ theo dõi bảo hiểm sang toàn bộ quy trình xưởng dịch vụ</w:t>
      </w:r>
    </w:p>
    <w:p/>
    <w:p/>
    <w:p>
      <w:pPr>
        <w:jc w:val="center"/>
      </w:pPr>
      <w:r>
        <w:rPr>
          <w:i/>
          <w:sz w:val="20"/>
        </w:rPr>
        <w:t>Biên bản được lập ngày 06.02.2026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eastAsia="IBM Plex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