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Nghiên Cứu Thị Trường: Ứng Dụng AI Hỗ Trợ Người Khuyết Tật tại Việt Nam</w:t>
      </w:r>
    </w:p>
    <w:p>
      <w:r>
        <w:t>Ngày: 30.01.26</w:t>
      </w:r>
    </w:p>
    <w:p>
      <w:r>
        <w:t>Chuẩn bị cho: OS Research Startup Studio</w:t>
      </w:r>
    </w:p>
    <w:p>
      <w:r>
        <w:t>Lĩnh vực nghiên cứu: Y tế / Phúc lợi xã hội</w:t>
      </w:r>
    </w:p>
    <w:p/>
    <w:p>
      <w:pPr>
        <w:pStyle w:val="Heading1"/>
      </w:pPr>
      <w:r>
        <w:t>Tóm Tắt</w:t>
      </w:r>
    </w:p>
    <w:p>
      <w:r>
        <w:t>Việt Nam có khoảng 6,2 triệu người khuyết tật (7% dân số), với 75% sống ở vùng nông thôn. Thị trường đang thiếu hụt nghiêm trọng các giải pháp công nghệ hỗ trợ, mặc dù khung pháp lý về người khuyết tật đã tương đối hoàn thiện. Cơ hội lớn tồn tại trong: nhận dạng Ngôn ngữ Ký hiệu Việt Nam (VSL), chuyển văn bản thành giọng nói (TTS đã trưởng thành), và ứng dụng AI có khả năng hoạt động offline cho vùng nông thôn.</w:t>
      </w:r>
    </w:p>
    <w:p/>
    <w:p>
      <w:r>
        <w:t>Đánh giá Blue Ocean: CAO - Không có đối thủ trong nước, có yêu cầu pháp lý bắt buộc, cơ hội tiên phong.</w:t>
      </w:r>
    </w:p>
    <w:p>
      <w:pPr>
        <w:pStyle w:val="Heading1"/>
      </w:pPr>
      <w:r>
        <w:t>1. Thống Kê Người Khuyết Tật tại Việt Nam</w:t>
      </w:r>
    </w:p>
    <w:p>
      <w:pPr>
        <w:pStyle w:val="Heading2"/>
      </w:pPr>
      <w:r>
        <w:t>1.1 Tổng quan</w:t>
      </w:r>
    </w:p>
    <w:tbl>
      <w:tblPr>
        <w:tblStyle w:val="TableGrid"/>
        <w:tblW w:type="auto" w:w="0"/>
        <w:tblLook w:firstColumn="1" w:firstRow="1" w:lastColumn="0" w:lastRow="0" w:noHBand="0" w:noVBand="1" w:val="04A0"/>
      </w:tblPr>
      <w:tblGrid>
        <w:gridCol w:w="4320"/>
        <w:gridCol w:w="4320"/>
      </w:tblGrid>
      <w:tr>
        <w:tc>
          <w:tcPr>
            <w:tcW w:type="dxa" w:w="4320"/>
          </w:tcPr>
          <w:p>
            <w:r>
              <w:t>Chỉ số</w:t>
            </w:r>
          </w:p>
        </w:tc>
        <w:tc>
          <w:tcPr>
            <w:tcW w:type="dxa" w:w="4320"/>
          </w:tcPr>
          <w:p>
            <w:r>
              <w:t>Giá trị</w:t>
            </w:r>
          </w:p>
        </w:tc>
      </w:tr>
      <w:tr>
        <w:tc>
          <w:tcPr>
            <w:tcW w:type="dxa" w:w="4320"/>
          </w:tcPr>
          <w:p>
            <w:r>
              <w:t>Tổng số NKT</w:t>
            </w:r>
          </w:p>
        </w:tc>
        <w:tc>
          <w:tcPr>
            <w:tcW w:type="dxa" w:w="4320"/>
          </w:tcPr>
          <w:p>
            <w:r>
              <w:t>6,2 triệu người</w:t>
            </w:r>
          </w:p>
        </w:tc>
      </w:tr>
      <w:tr>
        <w:tc>
          <w:tcPr>
            <w:tcW w:type="dxa" w:w="4320"/>
          </w:tcPr>
          <w:p>
            <w:r>
              <w:t>Tỷ lệ dân số</w:t>
            </w:r>
          </w:p>
        </w:tc>
        <w:tc>
          <w:tcPr>
            <w:tcW w:type="dxa" w:w="4320"/>
          </w:tcPr>
          <w:p>
            <w:r>
              <w:t>7%</w:t>
            </w:r>
          </w:p>
        </w:tc>
      </w:tr>
      <w:tr>
        <w:tc>
          <w:tcPr>
            <w:tcW w:type="dxa" w:w="4320"/>
          </w:tcPr>
          <w:p>
            <w:r>
              <w:t>Trẻ em khuyết tật</w:t>
            </w:r>
          </w:p>
        </w:tc>
        <w:tc>
          <w:tcPr>
            <w:tcW w:type="dxa" w:w="4320"/>
          </w:tcPr>
          <w:p>
            <w:r>
              <w:t>556.000</w:t>
            </w:r>
          </w:p>
        </w:tc>
      </w:tr>
      <w:tr>
        <w:tc>
          <w:tcPr>
            <w:tcW w:type="dxa" w:w="4320"/>
          </w:tcPr>
          <w:p>
            <w:r>
              <w:t>Sống ở nông thôn</w:t>
            </w:r>
          </w:p>
        </w:tc>
        <w:tc>
          <w:tcPr>
            <w:tcW w:type="dxa" w:w="4320"/>
          </w:tcPr>
          <w:p>
            <w:r>
              <w:t>75% (~3,9 triệu)</w:t>
            </w:r>
          </w:p>
        </w:tc>
      </w:tr>
    </w:tbl>
    <w:p/>
    <w:p>
      <w:pPr>
        <w:pStyle w:val="Heading2"/>
      </w:pPr>
      <w:r>
        <w:t>1.2 Phân loại theo dạng khuyết tật</w:t>
      </w:r>
    </w:p>
    <w:tbl>
      <w:tblPr>
        <w:tblStyle w:val="TableGrid"/>
        <w:tblW w:type="auto" w:w="0"/>
        <w:tblLook w:firstColumn="1" w:firstRow="1" w:lastColumn="0" w:lastRow="0" w:noHBand="0" w:noVBand="1" w:val="04A0"/>
      </w:tblPr>
      <w:tblGrid>
        <w:gridCol w:w="2880"/>
        <w:gridCol w:w="2880"/>
        <w:gridCol w:w="2880"/>
      </w:tblGrid>
      <w:tr>
        <w:tc>
          <w:tcPr>
            <w:tcW w:type="dxa" w:w="2880"/>
          </w:tcPr>
          <w:p>
            <w:r>
              <w:t>Loại</w:t>
            </w:r>
          </w:p>
        </w:tc>
        <w:tc>
          <w:tcPr>
            <w:tcW w:type="dxa" w:w="2880"/>
          </w:tcPr>
          <w:p>
            <w:r>
              <w:t>Tỷ lệ</w:t>
            </w:r>
          </w:p>
        </w:tc>
        <w:tc>
          <w:tcPr>
            <w:tcW w:type="dxa" w:w="2880"/>
          </w:tcPr>
          <w:p>
            <w:r>
              <w:t>Số lượng ước tính</w:t>
            </w:r>
          </w:p>
        </w:tc>
      </w:tr>
      <w:tr>
        <w:tc>
          <w:tcPr>
            <w:tcW w:type="dxa" w:w="2880"/>
          </w:tcPr>
          <w:p>
            <w:r>
              <w:t>Tâm thần/Trí tuệ</w:t>
            </w:r>
          </w:p>
        </w:tc>
        <w:tc>
          <w:tcPr>
            <w:tcW w:type="dxa" w:w="2880"/>
          </w:tcPr>
          <w:p>
            <w:r>
              <w:t>31%</w:t>
            </w:r>
          </w:p>
        </w:tc>
        <w:tc>
          <w:tcPr>
            <w:tcW w:type="dxa" w:w="2880"/>
          </w:tcPr>
          <w:p>
            <w:r>
              <w:t>~1,9 triệu</w:t>
            </w:r>
          </w:p>
        </w:tc>
      </w:tr>
      <w:tr>
        <w:tc>
          <w:tcPr>
            <w:tcW w:type="dxa" w:w="2880"/>
          </w:tcPr>
          <w:p>
            <w:r>
              <w:t>Vận động</w:t>
            </w:r>
          </w:p>
        </w:tc>
        <w:tc>
          <w:tcPr>
            <w:tcW w:type="dxa" w:w="2880"/>
          </w:tcPr>
          <w:p>
            <w:r>
              <w:t>27%</w:t>
            </w:r>
          </w:p>
        </w:tc>
        <w:tc>
          <w:tcPr>
            <w:tcW w:type="dxa" w:w="2880"/>
          </w:tcPr>
          <w:p>
            <w:r>
              <w:t>~1,7 triệu</w:t>
            </w:r>
          </w:p>
        </w:tc>
      </w:tr>
      <w:tr>
        <w:tc>
          <w:tcPr>
            <w:tcW w:type="dxa" w:w="2880"/>
          </w:tcPr>
          <w:p>
            <w:r>
              <w:t>Thị giác (khiếm thị)</w:t>
            </w:r>
          </w:p>
        </w:tc>
        <w:tc>
          <w:tcPr>
            <w:tcW w:type="dxa" w:w="2880"/>
          </w:tcPr>
          <w:p>
            <w:r>
              <w:t>15%</w:t>
            </w:r>
          </w:p>
        </w:tc>
        <w:tc>
          <w:tcPr>
            <w:tcW w:type="dxa" w:w="2880"/>
          </w:tcPr>
          <w:p>
            <w:r>
              <w:t>~900.000</w:t>
            </w:r>
          </w:p>
        </w:tc>
      </w:tr>
      <w:tr>
        <w:tc>
          <w:tcPr>
            <w:tcW w:type="dxa" w:w="2880"/>
          </w:tcPr>
          <w:p>
            <w:r>
              <w:t>Thính giác &amp; Ngôn ngữ</w:t>
            </w:r>
          </w:p>
        </w:tc>
        <w:tc>
          <w:tcPr>
            <w:tcW w:type="dxa" w:w="2880"/>
          </w:tcPr>
          <w:p>
            <w:r>
              <w:t>15%</w:t>
            </w:r>
          </w:p>
        </w:tc>
        <w:tc>
          <w:tcPr>
            <w:tcW w:type="dxa" w:w="2880"/>
          </w:tcPr>
          <w:p>
            <w:r>
              <w:t>~900.000</w:t>
            </w:r>
          </w:p>
        </w:tc>
      </w:tr>
      <w:tr>
        <w:tc>
          <w:tcPr>
            <w:tcW w:type="dxa" w:w="2880"/>
          </w:tcPr>
          <w:p>
            <w:r>
              <w:t>Khác</w:t>
            </w:r>
          </w:p>
        </w:tc>
        <w:tc>
          <w:tcPr>
            <w:tcW w:type="dxa" w:w="2880"/>
          </w:tcPr>
          <w:p>
            <w:r>
              <w:t>12%</w:t>
            </w:r>
          </w:p>
        </w:tc>
        <w:tc>
          <w:tcPr>
            <w:tcW w:type="dxa" w:w="2880"/>
          </w:tcPr>
          <w:p>
            <w:r>
              <w:t>~700.000</w:t>
            </w:r>
          </w:p>
        </w:tc>
      </w:tr>
    </w:tbl>
    <w:p/>
    <w:p>
      <w:pPr>
        <w:pStyle w:val="Heading1"/>
      </w:pPr>
      <w:r>
        <w:t>2. Giải Pháp Hiện Tại &amp; Đối Thủ</w:t>
      </w:r>
    </w:p>
    <w:p>
      <w:pPr>
        <w:pStyle w:val="Heading2"/>
      </w:pPr>
      <w:r>
        <w:t>2.1 Giải pháp quốc tế có mặt tại Việt Nam</w:t>
      </w:r>
    </w:p>
    <w:p>
      <w:r>
        <w:t>• Google Live Transcribe: Hỗ trợ tiếng Việt, có offline</w:t>
      </w:r>
    </w:p>
    <w:p>
      <w:r>
        <w:t>• Be My Eyes: Kết nối người khiếm thị với tình nguyện viên</w:t>
      </w:r>
    </w:p>
    <w:p>
      <w:r>
        <w:t>• Seeing AI (Microsoft): Mô tả hình ảnh bằng AI - hạn chế tiếng Việt</w:t>
      </w:r>
    </w:p>
    <w:p/>
    <w:p>
      <w:r>
        <w:t>Khoảng trống: Không có giải pháp nào được thiết kế riêng cho bối cảnh Việt Nam, tích hợp dịch vụ công, hoặc hỗ trợ Ngôn ngữ Ký hiệu Việt Nam.</w:t>
      </w:r>
    </w:p>
    <w:p>
      <w:pPr>
        <w:pStyle w:val="Heading2"/>
      </w:pPr>
      <w:r>
        <w:t>2.2 Công nghệ Text-to-Speech tiếng Việt</w:t>
      </w:r>
    </w:p>
    <w:p>
      <w:r>
        <w:t>• Viettel AI TTS: 16 giọng (3 miền), chất lượng 95% như người thật</w:t>
      </w:r>
    </w:p>
    <w:p>
      <w:r>
        <w:t>• FPT.AI TTS: 7+ giọng vùng miền, có API</w:t>
      </w:r>
    </w:p>
    <w:p>
      <w:r>
        <w:t>• Zalo AI TTS: 4 giọng (Bắc/Nam)</w:t>
      </w:r>
    </w:p>
    <w:p/>
    <w:p>
      <w:r>
        <w:t>Nhận định: TTS tiếng Việt đã TRƯỞNG THÀNH - không phải khoảng trống cần giải quyết.</w:t>
      </w:r>
    </w:p>
    <w:p>
      <w:pPr>
        <w:pStyle w:val="Heading2"/>
      </w:pPr>
      <w:r>
        <w:t>2.3 Ngôn ngữ Ký hiệu Việt Nam (VSL)</w:t>
      </w:r>
    </w:p>
    <w:p>
      <w:r>
        <w:t>Hiện trạng: Giai đoạn nghiên cứu ban đầu</w:t>
      </w:r>
    </w:p>
    <w:p>
      <w:r>
        <w:t>• Bộ dữ liệu lớn nhất: 1.000 ký hiệu (cần 2.000-5.000+ cho giao tiếp)</w:t>
      </w:r>
    </w:p>
    <w:p>
      <w:r>
        <w:t>• Chưa có ứng dụng nhận dạng VSL hoàn chỉnh</w:t>
      </w:r>
    </w:p>
    <w:p>
      <w:r>
        <w:t>• Chỉ có 10 phiên dịch ngôn ngữ ký hiệu trên cả nước</w:t>
      </w:r>
    </w:p>
    <w:p/>
    <w:p>
      <w:r>
        <w:t>KHOẢNG TRỐNG LỚN: Cơ hội tiên phong trong lĩnh vực này.</w:t>
      </w:r>
    </w:p>
    <w:p>
      <w:pPr>
        <w:pStyle w:val="Heading1"/>
      </w:pPr>
      <w:r>
        <w:t>3. Chính Sách &amp; Pháp Luật</w:t>
      </w:r>
    </w:p>
    <w:p>
      <w:r>
        <w:t>• Luật Người khuyết tật 2010: Quyền tiếp cận bình đẳng</w:t>
      </w:r>
    </w:p>
    <w:p>
      <w:r>
        <w:t>• Phê chuẩn CRPD 2014: Tiêu chuẩn quốc tế</w:t>
      </w:r>
    </w:p>
    <w:p>
      <w:r>
        <w:t>• Nghị định 76/2024/NĐ-CP: Cập nhật hỗ trợ NKT</w:t>
      </w:r>
    </w:p>
    <w:p>
      <w:r>
        <w:t>• Luật Công nghệ số 2025: Quản lý AI, đề cập bảo vệ NKT</w:t>
      </w:r>
    </w:p>
    <w:p/>
    <w:p>
      <w:r>
        <w:t>Từ 01/01/2025: Tất cả tòa nhà công cộng phải đảm bảo khả năng tiếp cận.</w:t>
      </w:r>
    </w:p>
    <w:p>
      <w:r>
        <w:t>25,6% NKT gặp khó khăn khi sử dụng cổng dịch vụ công trực tuyến.</w:t>
      </w:r>
    </w:p>
    <w:p/>
    <w:p>
      <w:r>
        <w:t>Nhận định: Chính phủ yêu cầu bắt buộc nhưng thiếu công cụ số để tuân thủ. CƠ HỘI B2G.</w:t>
      </w:r>
    </w:p>
    <w:p>
      <w:pPr>
        <w:pStyle w:val="Heading1"/>
      </w:pPr>
      <w:r>
        <w:t>4. Cơ Hội Thị Trường</w:t>
      </w:r>
    </w:p>
    <w:p>
      <w:pPr>
        <w:pStyle w:val="Heading2"/>
      </w:pPr>
      <w:r>
        <w:t>4.1 Nguồn tài trợ</w:t>
      </w:r>
    </w:p>
    <w:p>
      <w:r>
        <w:t>• USAID PDSP: Đào tạo nghề, việc làm cho NKT</w:t>
      </w:r>
    </w:p>
    <w:p>
      <w:r>
        <w:t>• UNICEF Việt Nam: Hòa nhập số, giáo dục trẻ khuyết tật</w:t>
      </w:r>
    </w:p>
    <w:p>
      <w:r>
        <w:t>• ATscale: Tài trợ nhỏ đến $800</w:t>
      </w:r>
    </w:p>
    <w:p>
      <w:r>
        <w:t>• AT2030 Programme: UK Aid, 40+ quốc gia</w:t>
      </w:r>
    </w:p>
    <w:p>
      <w:pPr>
        <w:pStyle w:val="Heading2"/>
      </w:pPr>
      <w:r>
        <w:t>4.2 Đối tác tiềm năng</w:t>
      </w:r>
    </w:p>
    <w:p>
      <w:r>
        <w:t>• VNAH: Hỗ trợ NKT toàn quốc, 30+ năm hoạt động</w:t>
      </w:r>
    </w:p>
    <w:p>
      <w:r>
        <w:t>• Hội Người Điếc Hà Nội (HAD): Chuyên môn ngôn ngữ ký hiệu</w:t>
      </w:r>
    </w:p>
    <w:p>
      <w:r>
        <w:t>• Hands for Vietnam: Đào tạo ngôn ngữ ký hiệu</w:t>
      </w:r>
    </w:p>
    <w:p>
      <w:pPr>
        <w:pStyle w:val="Heading2"/>
      </w:pPr>
      <w:r>
        <w:t>4.3 Khách hàng B2B tiềm năng</w:t>
      </w:r>
    </w:p>
    <w:p>
      <w:r>
        <w:t>• Bệnh viện: 1.645 trên toàn quốc - giao tiếp với bệnh nhân</w:t>
      </w:r>
    </w:p>
    <w:p>
      <w:r>
        <w:t>• Trường chuyên biệt: 140+ trường - công cụ giáo dục</w:t>
      </w:r>
    </w:p>
    <w:p>
      <w:r>
        <w:t>• Dịch vụ công: Cổng dịch vụ tỉnh - tuân thủ quy định</w:t>
      </w:r>
    </w:p>
    <w:p>
      <w:r>
        <w:t>• Ngân hàng: Ứng dụng ngân hàng tiếp cận</w:t>
      </w:r>
    </w:p>
    <w:p>
      <w:pPr>
        <w:pStyle w:val="Heading1"/>
      </w:pPr>
      <w:r>
        <w:t>5. Đánh Giá Khả Thi Kỹ Thuật</w:t>
      </w:r>
    </w:p>
    <w:tbl>
      <w:tblPr>
        <w:tblStyle w:val="TableGrid"/>
        <w:tblW w:type="auto" w:w="0"/>
        <w:tblLook w:firstColumn="1" w:firstRow="1" w:lastColumn="0" w:lastRow="0" w:noHBand="0" w:noVBand="1" w:val="04A0"/>
      </w:tblPr>
      <w:tblGrid>
        <w:gridCol w:w="2880"/>
        <w:gridCol w:w="2880"/>
        <w:gridCol w:w="2880"/>
      </w:tblGrid>
      <w:tr>
        <w:tc>
          <w:tcPr>
            <w:tcW w:type="dxa" w:w="2880"/>
          </w:tcPr>
          <w:p>
            <w:r>
              <w:t>Tính năng</w:t>
            </w:r>
          </w:p>
        </w:tc>
        <w:tc>
          <w:tcPr>
            <w:tcW w:type="dxa" w:w="2880"/>
          </w:tcPr>
          <w:p>
            <w:r>
              <w:t>Mức rủi ro</w:t>
            </w:r>
          </w:p>
        </w:tc>
        <w:tc>
          <w:tcPr>
            <w:tcW w:type="dxa" w:w="2880"/>
          </w:tcPr>
          <w:p>
            <w:r>
              <w:t>Ghi chú</w:t>
            </w:r>
          </w:p>
        </w:tc>
      </w:tr>
      <w:tr>
        <w:tc>
          <w:tcPr>
            <w:tcW w:type="dxa" w:w="2880"/>
          </w:tcPr>
          <w:p>
            <w:r>
              <w:t>TTS tiếng Việt</w:t>
            </w:r>
          </w:p>
        </w:tc>
        <w:tc>
          <w:tcPr>
            <w:tcW w:type="dxa" w:w="2880"/>
          </w:tcPr>
          <w:p>
            <w:r>
              <w:t>THẤP</w:t>
            </w:r>
          </w:p>
        </w:tc>
        <w:tc>
          <w:tcPr>
            <w:tcW w:type="dxa" w:w="2880"/>
          </w:tcPr>
          <w:p>
            <w:r>
              <w:t>Công nghệ trưởng thành</w:t>
            </w:r>
          </w:p>
        </w:tc>
      </w:tr>
      <w:tr>
        <w:tc>
          <w:tcPr>
            <w:tcW w:type="dxa" w:w="2880"/>
          </w:tcPr>
          <w:p>
            <w:r>
              <w:t>Speech-to-text</w:t>
            </w:r>
          </w:p>
        </w:tc>
        <w:tc>
          <w:tcPr>
            <w:tcW w:type="dxa" w:w="2880"/>
          </w:tcPr>
          <w:p>
            <w:r>
              <w:t>THẤP</w:t>
            </w:r>
          </w:p>
        </w:tc>
        <w:tc>
          <w:tcPr>
            <w:tcW w:type="dxa" w:w="2880"/>
          </w:tcPr>
          <w:p>
            <w:r>
              <w:t>Google hỗ trợ offline</w:t>
            </w:r>
          </w:p>
        </w:tc>
      </w:tr>
      <w:tr>
        <w:tc>
          <w:tcPr>
            <w:tcW w:type="dxa" w:w="2880"/>
          </w:tcPr>
          <w:p>
            <w:r>
              <w:t>Nhận dạng VSL</w:t>
            </w:r>
          </w:p>
        </w:tc>
        <w:tc>
          <w:tcPr>
            <w:tcW w:type="dxa" w:w="2880"/>
          </w:tcPr>
          <w:p>
            <w:r>
              <w:t>CAO</w:t>
            </w:r>
          </w:p>
        </w:tc>
        <w:tc>
          <w:tcPr>
            <w:tcW w:type="dxa" w:w="2880"/>
          </w:tcPr>
          <w:p>
            <w:r>
              <w:t>Thiếu dữ liệu huấn luyện</w:t>
            </w:r>
          </w:p>
        </w:tc>
      </w:tr>
      <w:tr>
        <w:tc>
          <w:tcPr>
            <w:tcW w:type="dxa" w:w="2880"/>
          </w:tcPr>
          <w:p>
            <w:r>
              <w:t>AI offline</w:t>
            </w:r>
          </w:p>
        </w:tc>
        <w:tc>
          <w:tcPr>
            <w:tcW w:type="dxa" w:w="2880"/>
          </w:tcPr>
          <w:p>
            <w:r>
              <w:t>TRUNG BÌNH</w:t>
            </w:r>
          </w:p>
        </w:tc>
        <w:tc>
          <w:tcPr>
            <w:tcW w:type="dxa" w:w="2880"/>
          </w:tcPr>
          <w:p>
            <w:r>
              <w:t>Tính năng cơ bản OK</w:t>
            </w:r>
          </w:p>
        </w:tc>
      </w:tr>
      <w:tr>
        <w:tc>
          <w:tcPr>
            <w:tcW w:type="dxa" w:w="2880"/>
          </w:tcPr>
          <w:p>
            <w:r>
              <w:t>Tích hợp Chính phủ</w:t>
            </w:r>
          </w:p>
        </w:tc>
        <w:tc>
          <w:tcPr>
            <w:tcW w:type="dxa" w:w="2880"/>
          </w:tcPr>
          <w:p>
            <w:r>
              <w:t>TRUNG BÌNH</w:t>
            </w:r>
          </w:p>
        </w:tc>
        <w:tc>
          <w:tcPr>
            <w:tcW w:type="dxa" w:w="2880"/>
          </w:tcPr>
          <w:p>
            <w:r>
              <w:t>API có nhưng phân mảnh</w:t>
            </w:r>
          </w:p>
        </w:tc>
      </w:tr>
    </w:tbl>
    <w:p/>
    <w:p>
      <w:pPr>
        <w:pStyle w:val="Heading1"/>
      </w:pPr>
      <w:r>
        <w:t>6. Mô Hình Doanh Thu Đề Xuất</w:t>
      </w:r>
    </w:p>
    <w:tbl>
      <w:tblPr>
        <w:tblStyle w:val="TableGrid"/>
        <w:tblW w:type="auto" w:w="0"/>
        <w:tblLook w:firstColumn="1" w:firstRow="1" w:lastColumn="0" w:lastRow="0" w:noHBand="0" w:noVBand="1" w:val="04A0"/>
      </w:tblPr>
      <w:tblGrid>
        <w:gridCol w:w="2880"/>
        <w:gridCol w:w="2880"/>
        <w:gridCol w:w="2880"/>
      </w:tblGrid>
      <w:tr>
        <w:tc>
          <w:tcPr>
            <w:tcW w:type="dxa" w:w="2880"/>
          </w:tcPr>
          <w:p>
            <w:r>
              <w:t>Mô hình</w:t>
            </w:r>
          </w:p>
        </w:tc>
        <w:tc>
          <w:tcPr>
            <w:tcW w:type="dxa" w:w="2880"/>
          </w:tcPr>
          <w:p>
            <w:r>
              <w:t>Khả thi</w:t>
            </w:r>
          </w:p>
        </w:tc>
        <w:tc>
          <w:tcPr>
            <w:tcW w:type="dxa" w:w="2880"/>
          </w:tcPr>
          <w:p>
            <w:r>
              <w:t>Lý do</w:t>
            </w:r>
          </w:p>
        </w:tc>
      </w:tr>
      <w:tr>
        <w:tc>
          <w:tcPr>
            <w:tcW w:type="dxa" w:w="2880"/>
          </w:tcPr>
          <w:p>
            <w:r>
              <w:t>B2G (Chính phủ)</w:t>
            </w:r>
          </w:p>
        </w:tc>
        <w:tc>
          <w:tcPr>
            <w:tcW w:type="dxa" w:w="2880"/>
          </w:tcPr>
          <w:p>
            <w:r>
              <w:t>CAO</w:t>
            </w:r>
          </w:p>
        </w:tc>
        <w:tc>
          <w:tcPr>
            <w:tcW w:type="dxa" w:w="2880"/>
          </w:tcPr>
          <w:p>
            <w:r>
              <w:t>Yêu cầu tuân thủ bắt buộc</w:t>
            </w:r>
          </w:p>
        </w:tc>
      </w:tr>
      <w:tr>
        <w:tc>
          <w:tcPr>
            <w:tcW w:type="dxa" w:w="2880"/>
          </w:tcPr>
          <w:p>
            <w:r>
              <w:t>B2B (Y tế)</w:t>
            </w:r>
          </w:p>
        </w:tc>
        <w:tc>
          <w:tcPr>
            <w:tcW w:type="dxa" w:w="2880"/>
          </w:tcPr>
          <w:p>
            <w:r>
              <w:t>CAO</w:t>
            </w:r>
          </w:p>
        </w:tc>
        <w:tc>
          <w:tcPr>
            <w:tcW w:type="dxa" w:w="2880"/>
          </w:tcPr>
          <w:p>
            <w:r>
              <w:t>Pain point rõ ràng</w:t>
            </w:r>
          </w:p>
        </w:tc>
      </w:tr>
      <w:tr>
        <w:tc>
          <w:tcPr>
            <w:tcW w:type="dxa" w:w="2880"/>
          </w:tcPr>
          <w:p>
            <w:r>
              <w:t>B2B (Giáo dục)</w:t>
            </w:r>
          </w:p>
        </w:tc>
        <w:tc>
          <w:tcPr>
            <w:tcW w:type="dxa" w:w="2880"/>
          </w:tcPr>
          <w:p>
            <w:r>
              <w:t>TRUNG BÌNH</w:t>
            </w:r>
          </w:p>
        </w:tc>
        <w:tc>
          <w:tcPr>
            <w:tcW w:type="dxa" w:w="2880"/>
          </w:tcPr>
          <w:p>
            <w:r>
              <w:t>Phụ thuộc tài trợ NGO</w:t>
            </w:r>
          </w:p>
        </w:tc>
      </w:tr>
      <w:tr>
        <w:tc>
          <w:tcPr>
            <w:tcW w:type="dxa" w:w="2880"/>
          </w:tcPr>
          <w:p>
            <w:r>
              <w:t>B2C (NKT)</w:t>
            </w:r>
          </w:p>
        </w:tc>
        <w:tc>
          <w:tcPr>
            <w:tcW w:type="dxa" w:w="2880"/>
          </w:tcPr>
          <w:p>
            <w:r>
              <w:t>THẤP</w:t>
            </w:r>
          </w:p>
        </w:tc>
        <w:tc>
          <w:tcPr>
            <w:tcW w:type="dxa" w:w="2880"/>
          </w:tcPr>
          <w:p>
            <w:r>
              <w:t>Thu nhập hạn chế</w:t>
            </w:r>
          </w:p>
        </w:tc>
      </w:tr>
      <w:tr>
        <w:tc>
          <w:tcPr>
            <w:tcW w:type="dxa" w:w="2880"/>
          </w:tcPr>
          <w:p>
            <w:r>
              <w:t>Tài trợ</w:t>
            </w:r>
          </w:p>
        </w:tc>
        <w:tc>
          <w:tcPr>
            <w:tcW w:type="dxa" w:w="2880"/>
          </w:tcPr>
          <w:p>
            <w:r>
              <w:t>CAO</w:t>
            </w:r>
          </w:p>
        </w:tc>
        <w:tc>
          <w:tcPr>
            <w:tcW w:type="dxa" w:w="2880"/>
          </w:tcPr>
          <w:p>
            <w:r>
              <w:t>Nhiều chương trình đang hoạt động</w:t>
            </w:r>
          </w:p>
        </w:tc>
      </w:tr>
    </w:tbl>
    <w:p/>
    <w:p>
      <w:pPr>
        <w:pStyle w:val="Heading1"/>
      </w:pPr>
      <w:r>
        <w:t>7. Đề Xuất Lộ Trình</w:t>
      </w:r>
    </w:p>
    <w:p>
      <w:pPr>
        <w:pStyle w:val="Heading2"/>
      </w:pPr>
      <w:r>
        <w:t>Giai đoạn 1 - Quả ngọt dễ hái:</w:t>
      </w:r>
    </w:p>
    <w:p>
      <w:r>
        <w:t>• Tích hợp voice-to-text tiếng Việt (Google API, offline)</w:t>
      </w:r>
    </w:p>
    <w:p>
      <w:r>
        <w:t>• Tích hợp TTS tiếng Việt (Viettel/FPT APIs)</w:t>
      </w:r>
    </w:p>
    <w:p>
      <w:r>
        <w:t>• Wrapper hỗ trợ tiếp cận dịch vụ công</w:t>
      </w:r>
    </w:p>
    <w:p>
      <w:pPr>
        <w:pStyle w:val="Heading2"/>
      </w:pPr>
      <w:r>
        <w:t>Giai đoạn 2 - Đầu tư trung bình:</w:t>
      </w:r>
    </w:p>
    <w:p>
      <w:r>
        <w:t>• Hợp tác HAD/VNAH xây dựng bộ dữ liệu VSL</w:t>
      </w:r>
    </w:p>
    <w:p>
      <w:r>
        <w:t>• Pilot tại trường chuyên biệt và bệnh viện</w:t>
      </w:r>
    </w:p>
    <w:p>
      <w:r>
        <w:t>• Nộp hồ sơ tài trợ USAID/UNICEF</w:t>
      </w:r>
    </w:p>
    <w:p>
      <w:pPr>
        <w:pStyle w:val="Heading2"/>
      </w:pPr>
      <w:r>
        <w:t>Giai đoạn 3 - R&amp;D dài hạn:</w:t>
      </w:r>
    </w:p>
    <w:p>
      <w:r>
        <w:t>• Xây dựng mô hình nhận dạng VSL hoàn chỉnh</w:t>
      </w:r>
    </w:p>
    <w:p>
      <w:r>
        <w:t>• Tối ưu AI trên thiết bị giá rẻ</w:t>
      </w:r>
    </w:p>
    <w:p>
      <w:r>
        <w:t>• Mở rộng tích hợp màn hình chữ nổi</w:t>
      </w:r>
    </w:p>
    <w:p>
      <w:pPr>
        <w:pStyle w:val="Heading1"/>
      </w:pPr>
      <w:r>
        <w:t>8. Các Bước Tiếp Theo</w:t>
      </w:r>
    </w:p>
    <w:p>
      <w:r>
        <w:t>1. Phỏng vấn khách hàng: Hội Người Điếc Hà Nội, VNAH, trường chuyên biệt</w:t>
      </w:r>
    </w:p>
    <w:p>
      <w:r>
        <w:t>2. Kiểm chứng kỹ thuật: Test tích hợp VietTTS + Google Live Transcribe</w:t>
      </w:r>
    </w:p>
    <w:p>
      <w:r>
        <w:t>3. Tìm hiểu đối tác: Liên hệ UNICEF Vietnam, USAID PDSP</w:t>
      </w:r>
    </w:p>
    <w:p>
      <w:r>
        <w:t>4. Phân tích đối thủ: Nghiên cứu sâu mô hình Ava, KinTrans</w:t>
      </w:r>
    </w:p>
    <w:p>
      <w:r>
        <w:t>5. Đánh giá VSL: Ước tính chi phí xây dựng bộ từ vựng 2.000+ ký hiệu</w:t>
      </w:r>
    </w:p>
    <w:p>
      <w:pPr>
        <w:pStyle w:val="Heading1"/>
      </w:pPr>
      <w:r>
        <w:t>Kết Luận OSR</w:t>
      </w:r>
    </w:p>
    <w:p>
      <w:r>
        <w:t>Đề xuất này phù hợp với lĩnh vực nghiên cứu Y TẾ của OSR với tiềm năng BLUE OCEAN cao (không có đối thủ, có yêu cầu pháp lý). Rủi ro chính là chi phí xây dựng bộ dữ liệu VSL. Khuyến nghị bắt đầu từ B2G/B2B, không phải B2C.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