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TY OS RESEARCH (OSR)</w:t>
      </w:r>
    </w:p>
    <w:p>
      <w:pPr>
        <w:jc w:val="center"/>
      </w:pPr>
      <w:r>
        <w:t>───────────────</w:t>
      </w:r>
    </w:p>
    <w:p>
      <w:pPr>
        <w:jc w:val="center"/>
      </w:pPr>
      <w:r>
        <w:rPr>
          <w:b/>
          <w:sz w:val="32"/>
        </w:rPr>
        <w:br/>
        <w:t>QUY CHẾ TÀI CHÍNH NỘI BỘ</w:t>
      </w:r>
    </w:p>
    <w:p>
      <w:pPr>
        <w:jc w:val="center"/>
      </w:pPr>
      <w:r>
        <w:rPr>
          <w:i/>
          <w:sz w:val="24"/>
        </w:rPr>
        <w:t>(Ban hành kèm theo Quyết định số: 01/2026/QĐ-OSR ngày 25/02/2026)</w:t>
      </w:r>
    </w:p>
    <w:p/>
    <w:p>
      <w:pPr>
        <w:jc w:val="center"/>
      </w:pPr>
      <w:r>
        <w:rPr>
          <w:b/>
          <w:sz w:val="28"/>
        </w:rPr>
        <w:br/>
        <w:t>CHƯƠNG I</w:t>
      </w:r>
    </w:p>
    <w:p>
      <w:pPr>
        <w:jc w:val="center"/>
      </w:pPr>
      <w:r>
        <w:rPr>
          <w:b/>
          <w:sz w:val="28"/>
        </w:rPr>
        <w:t>QUY ĐỊNH CHUNG</w:t>
      </w:r>
    </w:p>
    <w:p>
      <w:r>
        <w:rPr>
          <w:b/>
          <w:sz w:val="26"/>
        </w:rPr>
        <w:t>Điều 1. Mục đích</w:t>
      </w:r>
    </w:p>
    <w:p>
      <w:pPr>
        <w:spacing w:after="60"/>
        <w:ind w:left="360"/>
      </w:pPr>
      <w:r>
        <w:t>Quy chế này quy định các nguyên tắc, quy trình quản lý tài chính nội bộ của Công ty OS Research (sau đây gọi là "Công ty" hoặc "OSR"), nhằm:</w:t>
      </w:r>
    </w:p>
    <w:p>
      <w:pPr>
        <w:spacing w:after="60"/>
        <w:ind w:left="360"/>
      </w:pPr>
      <w:r>
        <w:t>1. Đảm bảo sử dụng nguồn lực tài chính hiệu quả, minh bạch.</w:t>
      </w:r>
    </w:p>
    <w:p>
      <w:pPr>
        <w:spacing w:after="60"/>
        <w:ind w:left="360"/>
      </w:pPr>
      <w:r>
        <w:t>2. Tạo cơ sở pháp lý cho các hoạt động thu chi trong Công ty.</w:t>
      </w:r>
    </w:p>
    <w:p>
      <w:pPr>
        <w:spacing w:after="60"/>
        <w:ind w:left="360"/>
      </w:pPr>
      <w:r>
        <w:t>3. Phân định rõ trách nhiệm của các cá nhân, bộ phận liên quan.</w:t>
      </w:r>
    </w:p>
    <w:p>
      <w:r>
        <w:rPr>
          <w:b/>
          <w:sz w:val="26"/>
        </w:rPr>
        <w:t>Điều 2. Phạm vi và đối tượng áp dụng</w:t>
      </w:r>
    </w:p>
    <w:p>
      <w:pPr>
        <w:spacing w:after="60"/>
        <w:ind w:left="360"/>
      </w:pPr>
      <w:r>
        <w:t>1. Phạm vi: Tất cả hoạt động tài chính của Công ty.</w:t>
      </w:r>
    </w:p>
    <w:p>
      <w:pPr>
        <w:spacing w:after="60"/>
        <w:ind w:left="360"/>
      </w:pPr>
      <w:r>
        <w:t>2. Đối tượng: Toàn bộ thành viên, cộng tác viên và các bên liên quan đến hoạt động tài chính của Công ty.</w:t>
      </w:r>
    </w:p>
    <w:p>
      <w:r>
        <w:rPr>
          <w:b/>
          <w:sz w:val="26"/>
        </w:rPr>
        <w:t>Điều 3. Nguyên tắc quản lý tài chính</w:t>
      </w:r>
    </w:p>
    <w:p>
      <w:pPr>
        <w:spacing w:after="60"/>
        <w:ind w:left="360"/>
      </w:pPr>
      <w:r>
        <w:t>1. Minh bạch: Mọi khoản thu chi phải được ghi chép đầy đủ, rõ ràng.</w:t>
      </w:r>
    </w:p>
    <w:p>
      <w:pPr>
        <w:spacing w:after="60"/>
        <w:ind w:left="360"/>
      </w:pPr>
      <w:r>
        <w:t>2. Tiết kiệm: Sử dụng nguồn lực tài chính hiệu quả, tránh lãng phí.</w:t>
      </w:r>
    </w:p>
    <w:p>
      <w:pPr>
        <w:spacing w:after="60"/>
        <w:ind w:left="360"/>
      </w:pPr>
      <w:r>
        <w:t>3. Đúng mục đích: Chi tiêu phải phục vụ hoạt động kinh doanh của Công ty.</w:t>
      </w:r>
    </w:p>
    <w:p>
      <w:pPr>
        <w:spacing w:after="60"/>
        <w:ind w:left="360"/>
      </w:pPr>
      <w:r>
        <w:t>4. Có chứng từ: Mọi khoản chi phải có hóa đơn, chứng từ hợp lệ.</w:t>
      </w:r>
    </w:p>
    <w:p>
      <w:pPr>
        <w:spacing w:after="60"/>
        <w:ind w:left="360"/>
      </w:pPr>
      <w:r>
        <w:t>5. Được phê duyệt: Các khoản chi phải được người có thẩm quyền phê duyệt trước khi thực hiện.</w:t>
      </w:r>
    </w:p>
    <w:p>
      <w:pPr>
        <w:jc w:val="center"/>
      </w:pPr>
      <w:r>
        <w:rPr>
          <w:b/>
          <w:sz w:val="28"/>
        </w:rPr>
        <w:br/>
        <w:t>CHƯƠNG II</w:t>
      </w:r>
    </w:p>
    <w:p>
      <w:pPr>
        <w:jc w:val="center"/>
      </w:pPr>
      <w:r>
        <w:rPr>
          <w:b/>
          <w:sz w:val="28"/>
        </w:rPr>
        <w:t>QUẢN LÝ THU CHI</w:t>
      </w:r>
    </w:p>
    <w:p>
      <w:r>
        <w:rPr>
          <w:b/>
          <w:sz w:val="26"/>
        </w:rPr>
        <w:t>Điều 4. Quản lý nguồn thu</w:t>
      </w:r>
    </w:p>
    <w:p>
      <w:pPr>
        <w:spacing w:after="60"/>
        <w:ind w:left="360"/>
      </w:pPr>
      <w:r>
        <w:t>1. Các nguồn thu của Công ty bao gồm:</w:t>
      </w:r>
    </w:p>
    <w:p>
      <w:pPr>
        <w:spacing w:after="60"/>
        <w:ind w:left="360"/>
      </w:pPr>
      <w:r>
        <w:t>a) Doanh thu từ sản phẩm, dịch vụ.</w:t>
      </w:r>
    </w:p>
    <w:p>
      <w:pPr>
        <w:spacing w:after="60"/>
        <w:ind w:left="360"/>
      </w:pPr>
      <w:r>
        <w:t>b) Vốn góp của thành viên.</w:t>
      </w:r>
    </w:p>
    <w:p>
      <w:pPr>
        <w:spacing w:after="60"/>
        <w:ind w:left="360"/>
      </w:pPr>
      <w:r>
        <w:t>c) Vốn đầu tư từ bên ngoài.</w:t>
      </w:r>
    </w:p>
    <w:p>
      <w:pPr>
        <w:spacing w:after="60"/>
        <w:ind w:left="360"/>
      </w:pPr>
      <w:r>
        <w:t>d) Các nguồn thu hợp pháp khác.</w:t>
      </w:r>
    </w:p>
    <w:p>
      <w:pPr>
        <w:spacing w:after="60"/>
        <w:ind w:left="360"/>
      </w:pPr>
    </w:p>
    <w:p>
      <w:pPr>
        <w:spacing w:after="60"/>
        <w:ind w:left="360"/>
      </w:pPr>
      <w:r>
        <w:t>2. Tất cả nguồn thu phải được nộp vào tài khoản chính thức của Công ty trong vòng 24 giờ kể từ khi nhận được.</w:t>
      </w:r>
    </w:p>
    <w:p>
      <w:pPr>
        <w:spacing w:after="60"/>
        <w:ind w:left="360"/>
      </w:pPr>
    </w:p>
    <w:p>
      <w:pPr>
        <w:spacing w:after="60"/>
        <w:ind w:left="360"/>
      </w:pPr>
      <w:r>
        <w:t>3. Nghiêm cấm việc sử dụng nguồn thu cho mục đích cá nhân trước khi nộp về Công ty.</w:t>
      </w:r>
    </w:p>
    <w:p>
      <w:r>
        <w:rPr>
          <w:b/>
          <w:sz w:val="26"/>
        </w:rPr>
        <w:t>Điều 5. Phân loại chi phí</w:t>
      </w:r>
    </w:p>
    <w:p>
      <w:pPr>
        <w:spacing w:after="60"/>
        <w:ind w:left="360"/>
      </w:pPr>
      <w:r>
        <w:t>1. Chi phí hoạt động thường xuyên:</w:t>
      </w:r>
    </w:p>
    <w:p>
      <w:pPr>
        <w:spacing w:after="60"/>
        <w:ind w:left="360"/>
      </w:pPr>
      <w:r>
        <w:t>a) Lương và phụ cấp cho nhân sự.</w:t>
      </w:r>
    </w:p>
    <w:p>
      <w:pPr>
        <w:spacing w:after="60"/>
        <w:ind w:left="360"/>
      </w:pPr>
      <w:r>
        <w:t>b) Chi phí thuê văn phòng, điện, nước, internet.</w:t>
      </w:r>
    </w:p>
    <w:p>
      <w:pPr>
        <w:spacing w:after="60"/>
        <w:ind w:left="360"/>
      </w:pPr>
      <w:r>
        <w:t>c) Chi phí công cụ, phần mềm phục vụ công việc.</w:t>
      </w:r>
    </w:p>
    <w:p>
      <w:pPr>
        <w:spacing w:after="60"/>
        <w:ind w:left="360"/>
      </w:pPr>
      <w:r>
        <w:t>d) Chi phí marketing, quảng cáo.</w:t>
      </w:r>
    </w:p>
    <w:p>
      <w:pPr>
        <w:spacing w:after="60"/>
        <w:ind w:left="360"/>
      </w:pPr>
    </w:p>
    <w:p>
      <w:pPr>
        <w:spacing w:after="60"/>
        <w:ind w:left="360"/>
      </w:pPr>
      <w:r>
        <w:t>2. Chi phí dự án/thí nghiệm:</w:t>
      </w:r>
    </w:p>
    <w:p>
      <w:pPr>
        <w:spacing w:after="60"/>
        <w:ind w:left="360"/>
      </w:pPr>
      <w:r>
        <w:t>a) Chi phí nghiên cứu và phát triển sản phẩm.</w:t>
      </w:r>
    </w:p>
    <w:p>
      <w:pPr>
        <w:spacing w:after="60"/>
        <w:ind w:left="360"/>
      </w:pPr>
      <w:r>
        <w:t>b) Chi phí chạy thí nghiệm (ads, landing page, prototype...).</w:t>
      </w:r>
    </w:p>
    <w:p>
      <w:pPr>
        <w:spacing w:after="60"/>
        <w:ind w:left="360"/>
      </w:pPr>
      <w:r>
        <w:t>c) Chi phí thuê ngoài (freelancer, agency...).</w:t>
      </w:r>
    </w:p>
    <w:p>
      <w:pPr>
        <w:spacing w:after="60"/>
        <w:ind w:left="360"/>
      </w:pPr>
    </w:p>
    <w:p>
      <w:pPr>
        <w:spacing w:after="60"/>
        <w:ind w:left="360"/>
      </w:pPr>
      <w:r>
        <w:t>3. Chi phí đầu tư:</w:t>
      </w:r>
    </w:p>
    <w:p>
      <w:pPr>
        <w:spacing w:after="60"/>
        <w:ind w:left="360"/>
      </w:pPr>
      <w:r>
        <w:t>a) Mua sắm tài sản, thiết bị.</w:t>
      </w:r>
    </w:p>
    <w:p>
      <w:pPr>
        <w:spacing w:after="60"/>
        <w:ind w:left="360"/>
      </w:pPr>
      <w:r>
        <w:t>b) Đầu tư vào các dự án nội bộ (Internal Projects).</w:t>
      </w:r>
    </w:p>
    <w:p>
      <w:r>
        <w:rPr>
          <w:b/>
          <w:sz w:val="26"/>
        </w:rPr>
        <w:t>Điều 6. Thẩm quyền phê duyệt chi</w:t>
      </w:r>
    </w:p>
    <w:p>
      <w:pPr>
        <w:spacing w:after="60"/>
        <w:ind w:left="360"/>
      </w:pPr>
      <w:r>
        <w:t>1. Giám đốc/Founder phê duyệt:</w:t>
      </w:r>
    </w:p>
    <w:p>
      <w:pPr>
        <w:spacing w:after="60"/>
        <w:ind w:left="360"/>
      </w:pPr>
      <w:r>
        <w:t>a) Tất cả các khoản chi trên 10.000.000 VNĐ (mười triệu đồng).</w:t>
      </w:r>
    </w:p>
    <w:p>
      <w:pPr>
        <w:spacing w:after="60"/>
        <w:ind w:left="360"/>
      </w:pPr>
      <w:r>
        <w:t>b) Chi phí đầu tư, mua sắm tài sản.</w:t>
      </w:r>
    </w:p>
    <w:p>
      <w:pPr>
        <w:spacing w:after="60"/>
        <w:ind w:left="360"/>
      </w:pPr>
      <w:r>
        <w:t>c) Hợp đồng với bên thứ ba.</w:t>
      </w:r>
    </w:p>
    <w:p>
      <w:pPr>
        <w:spacing w:after="60"/>
        <w:ind w:left="360"/>
      </w:pPr>
    </w:p>
    <w:p>
      <w:pPr>
        <w:spacing w:after="60"/>
        <w:ind w:left="360"/>
      </w:pPr>
      <w:r>
        <w:t>2. Trưởng bộ phận/Project Lead được phê duyệt:</w:t>
      </w:r>
    </w:p>
    <w:p>
      <w:pPr>
        <w:spacing w:after="60"/>
        <w:ind w:left="360"/>
      </w:pPr>
      <w:r>
        <w:t>a) Các khoản chi dưới 10.000.000 VNĐ thuộc ngân sách được giao.</w:t>
      </w:r>
    </w:p>
    <w:p>
      <w:pPr>
        <w:spacing w:after="60"/>
        <w:ind w:left="360"/>
      </w:pPr>
      <w:r>
        <w:t>b) Chi phí vận hành thường xuyên trong phạm vi dự toán.</w:t>
      </w:r>
    </w:p>
    <w:p>
      <w:pPr>
        <w:spacing w:after="60"/>
        <w:ind w:left="360"/>
      </w:pPr>
    </w:p>
    <w:p>
      <w:pPr>
        <w:spacing w:after="60"/>
        <w:ind w:left="360"/>
      </w:pPr>
      <w:r>
        <w:t>3. Cá nhân tự chi và hoàn ứng:</w:t>
      </w:r>
    </w:p>
    <w:p>
      <w:pPr>
        <w:spacing w:after="60"/>
        <w:ind w:left="360"/>
      </w:pPr>
      <w:r>
        <w:t>a) Các khoản chi dưới 2.000.000 VNĐ (hai triệu đồng) phục vụ công việc.</w:t>
      </w:r>
    </w:p>
    <w:p>
      <w:pPr>
        <w:spacing w:after="60"/>
        <w:ind w:left="360"/>
      </w:pPr>
      <w:r>
        <w:t>b) Phải có hóa đơn/chứng từ và được phê duyệt hoàn ứng trong vòng 7 ngày.</w:t>
      </w:r>
    </w:p>
    <w:p>
      <w:r>
        <w:rPr>
          <w:b/>
          <w:sz w:val="26"/>
        </w:rPr>
        <w:t>Điều 7. Quy trình thanh toán</w:t>
      </w:r>
    </w:p>
    <w:p>
      <w:pPr>
        <w:spacing w:after="60"/>
        <w:ind w:left="360"/>
      </w:pPr>
      <w:r>
        <w:t>1. Đề xuất chi:</w:t>
      </w:r>
    </w:p>
    <w:p>
      <w:pPr>
        <w:spacing w:after="60"/>
        <w:ind w:left="360"/>
      </w:pPr>
      <w:r>
        <w:t>a) Người đề xuất điền Phiếu đề xuất chi (mẫu kèm theo).</w:t>
      </w:r>
    </w:p>
    <w:p>
      <w:pPr>
        <w:spacing w:after="60"/>
        <w:ind w:left="360"/>
      </w:pPr>
      <w:r>
        <w:t>b) Ghi rõ: mục đích, số tiền, thời gian cần thanh toán.</w:t>
      </w:r>
    </w:p>
    <w:p>
      <w:pPr>
        <w:spacing w:after="60"/>
        <w:ind w:left="360"/>
      </w:pPr>
    </w:p>
    <w:p>
      <w:pPr>
        <w:spacing w:after="60"/>
        <w:ind w:left="360"/>
      </w:pPr>
      <w:r>
        <w:t>2. Phê duyệt:</w:t>
      </w:r>
    </w:p>
    <w:p>
      <w:pPr>
        <w:spacing w:after="60"/>
        <w:ind w:left="360"/>
      </w:pPr>
      <w:r>
        <w:t>a) Chuyển đề xuất cho người có thẩm quyền theo Điều 6.</w:t>
      </w:r>
    </w:p>
    <w:p>
      <w:pPr>
        <w:spacing w:after="60"/>
        <w:ind w:left="360"/>
      </w:pPr>
      <w:r>
        <w:t>b) Thời gian phê duyệt tối đa: 2 ngày làm việc.</w:t>
      </w:r>
    </w:p>
    <w:p>
      <w:pPr>
        <w:spacing w:after="60"/>
        <w:ind w:left="360"/>
      </w:pPr>
    </w:p>
    <w:p>
      <w:pPr>
        <w:spacing w:after="60"/>
        <w:ind w:left="360"/>
      </w:pPr>
      <w:r>
        <w:t>3. Thanh toán:</w:t>
      </w:r>
    </w:p>
    <w:p>
      <w:pPr>
        <w:spacing w:after="60"/>
        <w:ind w:left="360"/>
      </w:pPr>
      <w:r>
        <w:t>a) Ưu tiên chuyển khoản ngân hàng.</w:t>
      </w:r>
    </w:p>
    <w:p>
      <w:pPr>
        <w:spacing w:after="60"/>
        <w:ind w:left="360"/>
      </w:pPr>
      <w:r>
        <w:t>b) Thanh toán tiền mặt chỉ áp dụng cho khoản chi dưới 2.000.000 VNĐ.</w:t>
      </w:r>
    </w:p>
    <w:p>
      <w:pPr>
        <w:spacing w:after="60"/>
        <w:ind w:left="360"/>
      </w:pPr>
    </w:p>
    <w:p>
      <w:pPr>
        <w:spacing w:after="60"/>
        <w:ind w:left="360"/>
      </w:pPr>
      <w:r>
        <w:t>4. Lưu chứng từ:</w:t>
      </w:r>
    </w:p>
    <w:p>
      <w:pPr>
        <w:spacing w:after="60"/>
        <w:ind w:left="360"/>
      </w:pPr>
      <w:r>
        <w:t>a) Scan/chụp hóa đơn, chứng từ gửi về email/folder chung.</w:t>
      </w:r>
    </w:p>
    <w:p>
      <w:pPr>
        <w:spacing w:after="60"/>
        <w:ind w:left="360"/>
      </w:pPr>
      <w:r>
        <w:t>b) Lưu bản gốc (nếu có) tại bộ phận kế toán.</w:t>
      </w:r>
    </w:p>
    <w:p>
      <w:pPr>
        <w:jc w:val="center"/>
      </w:pPr>
      <w:r>
        <w:rPr>
          <w:b/>
          <w:sz w:val="28"/>
        </w:rPr>
        <w:br/>
        <w:t>CHƯƠNG III</w:t>
      </w:r>
    </w:p>
    <w:p>
      <w:pPr>
        <w:jc w:val="center"/>
      </w:pPr>
      <w:r>
        <w:rPr>
          <w:b/>
          <w:sz w:val="28"/>
        </w:rPr>
        <w:t>QUẢN LÝ NGÂN SÁCH</w:t>
      </w:r>
    </w:p>
    <w:p>
      <w:r>
        <w:rPr>
          <w:b/>
          <w:sz w:val="26"/>
        </w:rPr>
        <w:t>Điều 8. Lập ngân sách</w:t>
      </w:r>
    </w:p>
    <w:p>
      <w:pPr>
        <w:spacing w:after="60"/>
        <w:ind w:left="360"/>
      </w:pPr>
      <w:r>
        <w:t>1. Ngân sách năm:</w:t>
      </w:r>
    </w:p>
    <w:p>
      <w:pPr>
        <w:spacing w:after="60"/>
        <w:ind w:left="360"/>
      </w:pPr>
      <w:r>
        <w:t>a) Lập vào tháng 12 hàng năm cho năm tiếp theo.</w:t>
      </w:r>
    </w:p>
    <w:p>
      <w:pPr>
        <w:spacing w:after="60"/>
        <w:ind w:left="360"/>
      </w:pPr>
      <w:r>
        <w:t>b) Bao gồm: dự toán thu, dự toán chi theo từng hạng mục.</w:t>
      </w:r>
    </w:p>
    <w:p>
      <w:pPr>
        <w:spacing w:after="60"/>
        <w:ind w:left="360"/>
      </w:pPr>
      <w:r>
        <w:t>c) Giám đốc phê duyệt ngân sách năm.</w:t>
      </w:r>
    </w:p>
    <w:p>
      <w:pPr>
        <w:spacing w:after="60"/>
        <w:ind w:left="360"/>
      </w:pPr>
    </w:p>
    <w:p>
      <w:pPr>
        <w:spacing w:after="60"/>
        <w:ind w:left="360"/>
      </w:pPr>
      <w:r>
        <w:t>2. Ngân sách dự án/thí nghiệm:</w:t>
      </w:r>
    </w:p>
    <w:p>
      <w:pPr>
        <w:spacing w:after="60"/>
        <w:ind w:left="360"/>
      </w:pPr>
      <w:r>
        <w:t>a) Lập trước khi bắt đầu dự án.</w:t>
      </w:r>
    </w:p>
    <w:p>
      <w:pPr>
        <w:spacing w:after="60"/>
        <w:ind w:left="360"/>
      </w:pPr>
      <w:r>
        <w:t>b) Project Lead chịu trách nhiệm quản lý ngân sách được giao.</w:t>
      </w:r>
    </w:p>
    <w:p>
      <w:pPr>
        <w:spacing w:after="60"/>
        <w:ind w:left="360"/>
      </w:pPr>
      <w:r>
        <w:t>c) Báo cáo tiến độ sử dụng ngân sách hàng tuần.</w:t>
      </w:r>
    </w:p>
    <w:p>
      <w:r>
        <w:rPr>
          <w:b/>
          <w:sz w:val="26"/>
        </w:rPr>
        <w:t>Điều 9. Kiểm soát ngân sách</w:t>
      </w:r>
    </w:p>
    <w:p>
      <w:pPr>
        <w:spacing w:after="60"/>
        <w:ind w:left="360"/>
      </w:pPr>
      <w:r>
        <w:t>1. Không được chi vượt ngân sách đã được phê duyệt.</w:t>
      </w:r>
    </w:p>
    <w:p>
      <w:pPr>
        <w:spacing w:after="60"/>
        <w:ind w:left="360"/>
      </w:pPr>
      <w:r>
        <w:t>2. Nếu cần chi vượt, phải:</w:t>
      </w:r>
    </w:p>
    <w:p>
      <w:pPr>
        <w:spacing w:after="60"/>
        <w:ind w:left="360"/>
      </w:pPr>
      <w:r>
        <w:t>a) Lập đề xuất điều chỉnh ngân sách.</w:t>
      </w:r>
    </w:p>
    <w:p>
      <w:pPr>
        <w:spacing w:after="60"/>
        <w:ind w:left="360"/>
      </w:pPr>
      <w:r>
        <w:t>b) Được Giám đốc phê duyệt trước khi thực hiện.</w:t>
      </w:r>
    </w:p>
    <w:p>
      <w:pPr>
        <w:spacing w:after="60"/>
        <w:ind w:left="360"/>
      </w:pPr>
      <w:r>
        <w:t>3. Cuối mỗi quý, rà soát và điều chỉnh ngân sách nếu cần.</w:t>
      </w:r>
    </w:p>
    <w:p>
      <w:pPr>
        <w:jc w:val="center"/>
      </w:pPr>
      <w:r>
        <w:rPr>
          <w:b/>
          <w:sz w:val="28"/>
        </w:rPr>
        <w:br/>
        <w:t>CHƯƠNG IV</w:t>
      </w:r>
    </w:p>
    <w:p>
      <w:pPr>
        <w:jc w:val="center"/>
      </w:pPr>
      <w:r>
        <w:rPr>
          <w:b/>
          <w:sz w:val="28"/>
        </w:rPr>
        <w:t>QUẢN LÝ TÀI SẢN</w:t>
      </w:r>
    </w:p>
    <w:p>
      <w:r>
        <w:rPr>
          <w:b/>
          <w:sz w:val="26"/>
        </w:rPr>
        <w:t>Điều 10. Tài sản của Công ty</w:t>
      </w:r>
    </w:p>
    <w:p>
      <w:pPr>
        <w:spacing w:after="60"/>
        <w:ind w:left="360"/>
      </w:pPr>
      <w:r>
        <w:t>1. Tài sản bao gồm:</w:t>
      </w:r>
    </w:p>
    <w:p>
      <w:pPr>
        <w:spacing w:after="60"/>
        <w:ind w:left="360"/>
      </w:pPr>
      <w:r>
        <w:t>a) Tiền mặt, tiền gửi ngân hàng.</w:t>
      </w:r>
    </w:p>
    <w:p>
      <w:pPr>
        <w:spacing w:after="60"/>
        <w:ind w:left="360"/>
      </w:pPr>
      <w:r>
        <w:t>b) Thiết bị, công cụ (máy tính, camera, thiết bị văn phòng...).</w:t>
      </w:r>
    </w:p>
    <w:p>
      <w:pPr>
        <w:spacing w:after="60"/>
        <w:ind w:left="360"/>
      </w:pPr>
      <w:r>
        <w:t>c) Tài sản trí tuệ (thương hiệu, phần mềm, nội dung...).</w:t>
      </w:r>
    </w:p>
    <w:p>
      <w:pPr>
        <w:spacing w:after="60"/>
        <w:ind w:left="360"/>
      </w:pPr>
    </w:p>
    <w:p>
      <w:pPr>
        <w:spacing w:after="60"/>
        <w:ind w:left="360"/>
      </w:pPr>
      <w:r>
        <w:t>2. Quy định sử dụng:</w:t>
      </w:r>
    </w:p>
    <w:p>
      <w:pPr>
        <w:spacing w:after="60"/>
        <w:ind w:left="360"/>
      </w:pPr>
      <w:r>
        <w:t>a) Tài sản Công ty chỉ được sử dụng cho mục đích công việc.</w:t>
      </w:r>
    </w:p>
    <w:p>
      <w:pPr>
        <w:spacing w:after="60"/>
        <w:ind w:left="360"/>
      </w:pPr>
      <w:r>
        <w:t>b) Người được giao tài sản chịu trách nhiệm bảo quản.</w:t>
      </w:r>
    </w:p>
    <w:p>
      <w:pPr>
        <w:spacing w:after="60"/>
        <w:ind w:left="360"/>
      </w:pPr>
      <w:r>
        <w:t>c) Mất mát, hư hỏng do lỗi cá nhân phải bồi thường.</w:t>
      </w:r>
    </w:p>
    <w:p>
      <w:pPr>
        <w:jc w:val="center"/>
      </w:pPr>
      <w:r>
        <w:rPr>
          <w:b/>
          <w:sz w:val="28"/>
        </w:rPr>
        <w:br/>
        <w:t>CHƯƠNG V</w:t>
      </w:r>
    </w:p>
    <w:p>
      <w:pPr>
        <w:jc w:val="center"/>
      </w:pPr>
      <w:r>
        <w:rPr>
          <w:b/>
          <w:sz w:val="28"/>
        </w:rPr>
        <w:t>BÁO CÁO VÀ KIỂM TRA</w:t>
      </w:r>
    </w:p>
    <w:p>
      <w:r>
        <w:rPr>
          <w:b/>
          <w:sz w:val="26"/>
        </w:rPr>
        <w:t>Điều 11. Chế độ báo cáo</w:t>
      </w:r>
    </w:p>
    <w:p>
      <w:pPr>
        <w:spacing w:after="60"/>
        <w:ind w:left="360"/>
      </w:pPr>
      <w:r>
        <w:t>1. Báo cáo hàng tuần:</w:t>
      </w:r>
    </w:p>
    <w:p>
      <w:pPr>
        <w:spacing w:after="60"/>
        <w:ind w:left="360"/>
      </w:pPr>
      <w:r>
        <w:t>a) Tổng hợp thu chi trong tuần.</w:t>
      </w:r>
    </w:p>
    <w:p>
      <w:pPr>
        <w:spacing w:after="60"/>
        <w:ind w:left="360"/>
      </w:pPr>
      <w:r>
        <w:t>b) Cập nhật tình hình ngân sách dự án.</w:t>
      </w:r>
    </w:p>
    <w:p>
      <w:pPr>
        <w:spacing w:after="60"/>
        <w:ind w:left="360"/>
      </w:pPr>
    </w:p>
    <w:p>
      <w:pPr>
        <w:spacing w:after="60"/>
        <w:ind w:left="360"/>
      </w:pPr>
      <w:r>
        <w:t>2. Báo cáo hàng tháng:</w:t>
      </w:r>
    </w:p>
    <w:p>
      <w:pPr>
        <w:spacing w:after="60"/>
        <w:ind w:left="360"/>
      </w:pPr>
      <w:r>
        <w:t>a) Báo cáo thu chi chi tiết.</w:t>
      </w:r>
    </w:p>
    <w:p>
      <w:pPr>
        <w:spacing w:after="60"/>
        <w:ind w:left="360"/>
      </w:pPr>
      <w:r>
        <w:t>b) So sánh thực tế với ngân sách.</w:t>
      </w:r>
    </w:p>
    <w:p>
      <w:pPr>
        <w:spacing w:after="60"/>
        <w:ind w:left="360"/>
      </w:pPr>
      <w:r>
        <w:t>c) Gửi cho Giám đốc trước ngày 5 tháng sau.</w:t>
      </w:r>
    </w:p>
    <w:p>
      <w:pPr>
        <w:spacing w:after="60"/>
        <w:ind w:left="360"/>
      </w:pPr>
    </w:p>
    <w:p>
      <w:pPr>
        <w:spacing w:after="60"/>
        <w:ind w:left="360"/>
      </w:pPr>
      <w:r>
        <w:t>3. Báo cáo hàng quý:</w:t>
      </w:r>
    </w:p>
    <w:p>
      <w:pPr>
        <w:spacing w:after="60"/>
        <w:ind w:left="360"/>
      </w:pPr>
      <w:r>
        <w:t>a) Tổng kết tài chính quý.</w:t>
      </w:r>
    </w:p>
    <w:p>
      <w:pPr>
        <w:spacing w:after="60"/>
        <w:ind w:left="360"/>
      </w:pPr>
      <w:r>
        <w:t>b) Đề xuất điều chỉnh ngân sách (nếu có).</w:t>
      </w:r>
    </w:p>
    <w:p>
      <w:r>
        <w:rPr>
          <w:b/>
          <w:sz w:val="26"/>
        </w:rPr>
        <w:t>Điều 12. Kiểm tra tài chính</w:t>
      </w:r>
    </w:p>
    <w:p>
      <w:pPr>
        <w:spacing w:after="60"/>
        <w:ind w:left="360"/>
      </w:pPr>
      <w:r>
        <w:t>1. Giám đốc có quyền kiểm tra tài chính bất kỳ lúc nào.</w:t>
      </w:r>
    </w:p>
    <w:p>
      <w:pPr>
        <w:spacing w:after="60"/>
        <w:ind w:left="360"/>
      </w:pPr>
      <w:r>
        <w:t>2. Tất cả thành viên có nghĩa vụ hợp tác, cung cấp thông tin khi được yêu cầu.</w:t>
      </w:r>
    </w:p>
    <w:p>
      <w:pPr>
        <w:spacing w:after="60"/>
        <w:ind w:left="360"/>
      </w:pPr>
      <w:r>
        <w:t>3. Phát hiện sai phạm sẽ xử lý theo quy định tại Điều 13.</w:t>
      </w:r>
    </w:p>
    <w:p>
      <w:pPr>
        <w:jc w:val="center"/>
      </w:pPr>
      <w:r>
        <w:rPr>
          <w:b/>
          <w:sz w:val="28"/>
        </w:rPr>
        <w:br/>
        <w:t>CHƯƠNG VI</w:t>
      </w:r>
    </w:p>
    <w:p>
      <w:pPr>
        <w:jc w:val="center"/>
      </w:pPr>
      <w:r>
        <w:rPr>
          <w:b/>
          <w:sz w:val="28"/>
        </w:rPr>
        <w:t>XỬ LÝ VI PHẠM</w:t>
      </w:r>
    </w:p>
    <w:p>
      <w:r>
        <w:rPr>
          <w:b/>
          <w:sz w:val="26"/>
        </w:rPr>
        <w:t>Điều 13. Xử lý vi phạm</w:t>
      </w:r>
    </w:p>
    <w:p>
      <w:pPr>
        <w:spacing w:after="60"/>
        <w:ind w:left="360"/>
      </w:pPr>
      <w:r>
        <w:t>1. Vi phạm nhẹ (lần đầu, không gây thiệt hại):</w:t>
      </w:r>
    </w:p>
    <w:p>
      <w:pPr>
        <w:spacing w:after="60"/>
        <w:ind w:left="360"/>
      </w:pPr>
      <w:r>
        <w:t>a) Nhắc nhở, cảnh cáo bằng văn bản.</w:t>
      </w:r>
    </w:p>
    <w:p>
      <w:pPr>
        <w:spacing w:after="60"/>
        <w:ind w:left="360"/>
      </w:pPr>
    </w:p>
    <w:p>
      <w:pPr>
        <w:spacing w:after="60"/>
        <w:ind w:left="360"/>
      </w:pPr>
      <w:r>
        <w:t>2. Vi phạm nghiêm trọng:</w:t>
      </w:r>
    </w:p>
    <w:p>
      <w:pPr>
        <w:spacing w:after="60"/>
        <w:ind w:left="360"/>
      </w:pPr>
      <w:r>
        <w:t>a) Chi sai mục đích, không có phê duyệt: Hoàn trả 100% số tiền + cảnh cáo.</w:t>
      </w:r>
    </w:p>
    <w:p>
      <w:pPr>
        <w:spacing w:after="60"/>
        <w:ind w:left="360"/>
      </w:pPr>
      <w:r>
        <w:t>b) Làm mất tài sản: Bồi thường theo giá trị tài sản.</w:t>
      </w:r>
    </w:p>
    <w:p>
      <w:pPr>
        <w:spacing w:after="60"/>
        <w:ind w:left="360"/>
      </w:pPr>
      <w:r>
        <w:t>c) Gian lận, biển thủ: Chấm dứt hợp tác + bồi thường + xử lý theo pháp luật.</w:t>
      </w:r>
    </w:p>
    <w:p>
      <w:pPr>
        <w:jc w:val="center"/>
      </w:pPr>
      <w:r>
        <w:rPr>
          <w:b/>
          <w:sz w:val="28"/>
        </w:rPr>
        <w:br/>
        <w:t>CHƯƠNG VII</w:t>
      </w:r>
    </w:p>
    <w:p>
      <w:pPr>
        <w:jc w:val="center"/>
      </w:pPr>
      <w:r>
        <w:rPr>
          <w:b/>
          <w:sz w:val="28"/>
        </w:rPr>
        <w:t>ĐIỀU KHOẢN THI HÀNH</w:t>
      </w:r>
    </w:p>
    <w:p>
      <w:r>
        <w:rPr>
          <w:b/>
          <w:sz w:val="26"/>
        </w:rPr>
        <w:t>Điều 14. Hiệu lực</w:t>
      </w:r>
    </w:p>
    <w:p>
      <w:pPr>
        <w:spacing w:after="60"/>
        <w:ind w:left="360"/>
      </w:pPr>
      <w:r>
        <w:t>1. Quy chế này có hiệu lực từ ngày ký ban hành.</w:t>
      </w:r>
    </w:p>
    <w:p>
      <w:pPr>
        <w:spacing w:after="60"/>
        <w:ind w:left="360"/>
      </w:pPr>
      <w:r>
        <w:t>2. Mọi quy định trước đây trái với Quy chế này đều bị bãi bỏ.</w:t>
      </w:r>
    </w:p>
    <w:p>
      <w:pPr>
        <w:spacing w:after="60"/>
        <w:ind w:left="360"/>
      </w:pPr>
      <w:r>
        <w:t>3. Việc sửa đổi, bổ sung Quy chế do Giám đốc quyết định.</w:t>
      </w:r>
    </w:p>
    <w:p>
      <w:r>
        <w:rPr>
          <w:b/>
          <w:sz w:val="26"/>
        </w:rPr>
        <w:t>Điều 15. Trách nhiệm thi hành</w:t>
      </w:r>
    </w:p>
    <w:p>
      <w:pPr>
        <w:spacing w:after="60"/>
        <w:ind w:left="360"/>
      </w:pPr>
      <w:r>
        <w:t>1. Tất cả thành viên Công ty có trách nhiệm nghiên cứu, thực hiện đúng Quy chế này.</w:t>
      </w:r>
    </w:p>
    <w:p>
      <w:pPr>
        <w:spacing w:after="60"/>
        <w:ind w:left="360"/>
      </w:pPr>
      <w:r>
        <w:t>2. Bộ phận kế toán/tài chính chịu trách nhiệm hướng dẫn, giám sát việc thực hiện.</w:t>
      </w:r>
    </w:p>
    <w:p>
      <w:pPr>
        <w:spacing w:after="60"/>
        <w:ind w:left="360"/>
      </w:pPr>
      <w:r>
        <w:t>3. Mọi thắc mắc liên hệ trực tiếp với Giám đốc để được giải đáp.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6"/>
              </w:rPr>
              <w:t>TP. Hồ Chí Minh, ngày 25 tháng 02 năm 2026</w:t>
              <w:br/>
            </w:r>
            <w:r>
              <w:rPr>
                <w:b/>
                <w:sz w:val="26"/>
              </w:rPr>
              <w:t>GIÁM ĐỐC</w:t>
              <w:br/>
              <w:br/>
              <w:br/>
              <w:br/>
              <w:br/>
            </w:r>
            <w:r>
              <w:rPr>
                <w:sz w:val="26"/>
              </w:rPr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