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Vietnam Innovation &amp; Entrepreneurship Policy Summary 2025</w:t>
      </w:r>
    </w:p>
    <w:p/>
    <w:p>
      <w:pPr>
        <w:pStyle w:val="Heading1"/>
      </w:pPr>
      <w:r>
        <w:t>1. Executive Summary</w:t>
      </w:r>
    </w:p>
    <w:p>
      <w:pPr>
        <w:jc w:val="both"/>
      </w:pPr>
      <w:r>
        <w:t>Vietnam has positioned innovation, science, and technology as core drivers of national development through a comprehensive policy framework launched in late 2024 and early 2025. The government aims to transform Vietnam into a high-income nation by 2045, with digital economy accounting for 50% of GDP. Key initiatives include substantial R&amp;D investment targets (2% of GDP by 2030), creation of specialized investment funds for emerging technologies, and systematic reduction of administrative barriers for entrepreneurs. The ecosystem has shown strong momentum with over 4,000 active startups, 2 unicorns, and USD 2.3 billion in venture capital deployed in 2024 alone.</w:t>
      </w:r>
    </w:p>
    <w:p>
      <w:pPr>
        <w:pStyle w:val="Heading1"/>
      </w:pPr>
      <w:r>
        <w:t>2. Key Government Resolutions</w:t>
      </w:r>
    </w:p>
    <w:p>
      <w:pPr>
        <w:pStyle w:val="Heading2"/>
      </w:pPr>
      <w:r>
        <w:t>Resolution 57-NQ/TW (December 22, 2024)</w:t>
      </w:r>
    </w:p>
    <w:p>
      <w:pPr>
        <w:pStyle w:val="ListBullet"/>
      </w:pPr>
      <w:r>
        <w:t>Establishes science, technology, and innovation as fundamental drivers of national socio-economic growth</w:t>
      </w:r>
    </w:p>
    <w:p>
      <w:pPr>
        <w:pStyle w:val="ListBullet"/>
      </w:pPr>
      <w:r>
        <w:t>Target: 30% of GDP from digital economy by 2030</w:t>
      </w:r>
    </w:p>
    <w:p>
      <w:pPr>
        <w:pStyle w:val="ListBullet"/>
      </w:pPr>
      <w:r>
        <w:t>Target: 2% of GDP allocated to R&amp;D investment by 2030</w:t>
      </w:r>
    </w:p>
    <w:p>
      <w:pPr>
        <w:pStyle w:val="ListBullet"/>
      </w:pPr>
      <w:r>
        <w:t>Goal: Rank in Top 3 ASEAN countries for innovation by 2030</w:t>
      </w:r>
    </w:p>
    <w:p>
      <w:pPr>
        <w:pStyle w:val="ListBullet"/>
      </w:pPr>
      <w:r>
        <w:t>Goal: Rank in Top 40 globally in innovation indices by 2030</w:t>
      </w:r>
    </w:p>
    <w:p>
      <w:pPr>
        <w:pStyle w:val="Heading2"/>
      </w:pPr>
      <w:r>
        <w:t>Resolution 59-NQ/TW (January 24, 2025)</w:t>
      </w:r>
    </w:p>
    <w:p>
      <w:pPr>
        <w:pStyle w:val="ListBullet"/>
      </w:pPr>
      <w:r>
        <w:t>Focuses on global integration and intellectual property commercialization</w:t>
      </w:r>
    </w:p>
    <w:p>
      <w:pPr>
        <w:pStyle w:val="ListBullet"/>
      </w:pPr>
      <w:r>
        <w:t>Target: 30% reduction in administrative burden for businesses by 2025</w:t>
      </w:r>
    </w:p>
    <w:p>
      <w:pPr>
        <w:pStyle w:val="ListBullet"/>
      </w:pPr>
      <w:r>
        <w:t>Establishes framework for international R&amp;D collaboration</w:t>
      </w:r>
    </w:p>
    <w:p>
      <w:pPr>
        <w:pStyle w:val="ListBullet"/>
      </w:pPr>
      <w:r>
        <w:t>Promotes technology transfer from research institutions to commercial entities</w:t>
      </w:r>
    </w:p>
    <w:p>
      <w:pPr>
        <w:pStyle w:val="Heading1"/>
      </w:pPr>
      <w:r>
        <w:t>3. Startup Ecosystem Statistics (2024)</w:t>
      </w:r>
    </w:p>
    <w:p>
      <w:pPr>
        <w:pStyle w:val="ListBullet"/>
      </w:pPr>
      <w:r>
        <w:t>Total active startups: 4,000+</w:t>
      </w:r>
    </w:p>
    <w:p>
      <w:pPr>
        <w:pStyle w:val="ListBullet"/>
      </w:pPr>
      <w:r>
        <w:t>Unicorns (USD 1B+ valuation): 2 companies</w:t>
      </w:r>
    </w:p>
    <w:p>
      <w:pPr>
        <w:pStyle w:val="ListBullet"/>
      </w:pPr>
      <w:r>
        <w:t>High-value companies (USD 100M+ valuation): 11 companies</w:t>
      </w:r>
    </w:p>
    <w:p>
      <w:pPr>
        <w:pStyle w:val="ListBullet"/>
      </w:pPr>
      <w:r>
        <w:t>Total venture capital invested: USD 2.3 billion across 141 deals</w:t>
      </w:r>
    </w:p>
    <w:p>
      <w:pPr>
        <w:pStyle w:val="ListBullet"/>
      </w:pPr>
      <w:r>
        <w:t>AI/ML startups: 765 companies (25% of total tech startup ecosystem)</w:t>
      </w:r>
    </w:p>
    <w:p>
      <w:pPr>
        <w:pStyle w:val="ListBullet"/>
      </w:pPr>
      <w:r>
        <w:t>Startup support organizations: 1,400+</w:t>
      </w:r>
    </w:p>
    <w:p>
      <w:pPr>
        <w:pStyle w:val="ListBullet"/>
      </w:pPr>
      <w:r>
        <w:t>Co-working spaces: 200+</w:t>
      </w:r>
    </w:p>
    <w:p>
      <w:pPr>
        <w:pStyle w:val="ListBullet"/>
      </w:pPr>
      <w:r>
        <w:t>Venture capital funds: 208</w:t>
      </w:r>
    </w:p>
    <w:p>
      <w:pPr>
        <w:pStyle w:val="ListBullet"/>
      </w:pPr>
      <w:r>
        <w:t>Business accelerators: 35</w:t>
      </w:r>
    </w:p>
    <w:p>
      <w:pPr>
        <w:pStyle w:val="ListBullet"/>
      </w:pPr>
      <w:r>
        <w:t>Incubators: 80</w:t>
      </w:r>
    </w:p>
    <w:p>
      <w:pPr>
        <w:pStyle w:val="Heading1"/>
      </w:pPr>
      <w:r>
        <w:t>4. Key Legislation &amp; Financial Incentives</w:t>
      </w:r>
    </w:p>
    <w:p>
      <w:pPr>
        <w:pStyle w:val="Heading2"/>
      </w:pPr>
      <w:r>
        <w:t>Project 844: National Startup Support Program</w:t>
      </w:r>
    </w:p>
    <w:p>
      <w:pPr>
        <w:pStyle w:val="ListBullet"/>
      </w:pPr>
      <w:r>
        <w:t>Funding allocation: USD 42 million</w:t>
      </w:r>
    </w:p>
    <w:p>
      <w:pPr>
        <w:pStyle w:val="ListBullet"/>
      </w:pPr>
      <w:r>
        <w:t>Targeted support for 800 startup projects through 2025</w:t>
      </w:r>
    </w:p>
    <w:p>
      <w:pPr>
        <w:pStyle w:val="ListBullet"/>
      </w:pPr>
      <w:r>
        <w:t>Covers seed funding, mentorship, and market access programs</w:t>
      </w:r>
    </w:p>
    <w:p>
      <w:pPr>
        <w:pStyle w:val="Heading2"/>
      </w:pPr>
      <w:r>
        <w:t>Decree 182/2024: Investment Support Fund</w:t>
      </w:r>
    </w:p>
    <w:p>
      <w:pPr>
        <w:pStyle w:val="ListBullet"/>
      </w:pPr>
      <w:r>
        <w:t>Dedicated funding for semiconductor research and development</w:t>
      </w:r>
    </w:p>
    <w:p>
      <w:pPr>
        <w:pStyle w:val="ListBullet"/>
      </w:pPr>
      <w:r>
        <w:t>Dedicated funding for artificial intelligence research and development</w:t>
      </w:r>
    </w:p>
    <w:p>
      <w:pPr>
        <w:pStyle w:val="ListBullet"/>
      </w:pPr>
      <w:r>
        <w:t>Supports domestic chip design and fabrication capabilities</w:t>
      </w:r>
    </w:p>
    <w:p>
      <w:pPr>
        <w:pStyle w:val="Heading2"/>
      </w:pPr>
      <w:r>
        <w:t>Resolution 193/2025: Risk Acceptance Framework</w:t>
      </w:r>
    </w:p>
    <w:p>
      <w:pPr>
        <w:pStyle w:val="ListBullet"/>
      </w:pPr>
      <w:r>
        <w:t>Protects R&amp;D personnel from liability for experimental failures</w:t>
      </w:r>
    </w:p>
    <w:p>
      <w:pPr>
        <w:pStyle w:val="ListBullet"/>
      </w:pPr>
      <w:r>
        <w:t>Encourages bold innovation through legal safeguards</w:t>
      </w:r>
    </w:p>
    <w:p>
      <w:pPr>
        <w:pStyle w:val="ListBullet"/>
      </w:pPr>
      <w:r>
        <w:t>Establishes clear criteria for acceptable vs. negligent risk-taking</w:t>
      </w:r>
    </w:p>
    <w:p>
      <w:pPr>
        <w:pStyle w:val="Heading2"/>
      </w:pPr>
      <w:r>
        <w:t>Decree 160/2025: AI Development Fund</w:t>
      </w:r>
    </w:p>
    <w:p>
      <w:pPr>
        <w:pStyle w:val="ListBullet"/>
      </w:pPr>
      <w:r>
        <w:t>Fund size: 1 trillion VND (approximately USD 40 million)</w:t>
      </w:r>
    </w:p>
    <w:p>
      <w:pPr>
        <w:pStyle w:val="ListBullet"/>
      </w:pPr>
      <w:r>
        <w:t>Focus areas: AI research, product development, and commercialization</w:t>
      </w:r>
    </w:p>
    <w:p>
      <w:pPr>
        <w:pStyle w:val="ListBullet"/>
      </w:pPr>
      <w:r>
        <w:t>Available to universities, research institutes, and private companies</w:t>
      </w:r>
    </w:p>
    <w:p>
      <w:pPr>
        <w:pStyle w:val="Heading2"/>
      </w:pPr>
      <w:r>
        <w:t>National Venture Capital Fund (2025)</w:t>
      </w:r>
    </w:p>
    <w:p>
      <w:pPr>
        <w:pStyle w:val="ListBullet"/>
      </w:pPr>
      <w:r>
        <w:t>State-backed venture capital fund launched in 2025</w:t>
      </w:r>
    </w:p>
    <w:p>
      <w:pPr>
        <w:pStyle w:val="ListBullet"/>
      </w:pPr>
      <w:r>
        <w:t>Co-investment model with private sector venture funds</w:t>
      </w:r>
    </w:p>
    <w:p>
      <w:pPr>
        <w:pStyle w:val="ListBullet"/>
      </w:pPr>
      <w:r>
        <w:t>Targets early-stage and growth-stage technology companies</w:t>
      </w:r>
    </w:p>
    <w:p>
      <w:pPr>
        <w:pStyle w:val="Heading2"/>
      </w:pPr>
      <w:r>
        <w:t>Tax Incentives for Innovation Enterprises</w:t>
      </w:r>
    </w:p>
    <w:p>
      <w:pPr>
        <w:pStyle w:val="ListBullet"/>
      </w:pPr>
      <w:r>
        <w:t>Corporate Income Tax (CIT): Preferential rate of 10% for 30 years</w:t>
      </w:r>
    </w:p>
    <w:p>
      <w:pPr>
        <w:pStyle w:val="ListBullet"/>
      </w:pPr>
      <w:r>
        <w:t>Tax holiday: 4-year complete exemption from CIT</w:t>
      </w:r>
    </w:p>
    <w:p>
      <w:pPr>
        <w:pStyle w:val="ListBullet"/>
      </w:pPr>
      <w:r>
        <w:t>Tax reduction: 50% CIT reduction for subsequent 9 years</w:t>
      </w:r>
    </w:p>
    <w:p>
      <w:pPr>
        <w:pStyle w:val="ListBullet"/>
      </w:pPr>
      <w:r>
        <w:t>Applies to qualified technology enterprises and innovation centers</w:t>
      </w:r>
    </w:p>
    <w:p>
      <w:pPr>
        <w:pStyle w:val="Heading1"/>
      </w:pPr>
      <w:r>
        <w:t>5. Talent Attraction &amp; Immigration Reform</w:t>
      </w:r>
    </w:p>
    <w:p>
      <w:pPr>
        <w:pStyle w:val="Heading2"/>
      </w:pPr>
      <w:r>
        <w:t>5-Year Talent Visa Program (August 2025)</w:t>
      </w:r>
    </w:p>
    <w:p>
      <w:pPr>
        <w:pStyle w:val="ListBullet"/>
      </w:pPr>
      <w:r>
        <w:t>Eligibility: Top-tier academics, researchers, and digital technology specialists</w:t>
      </w:r>
    </w:p>
    <w:p>
      <w:pPr>
        <w:pStyle w:val="ListBullet"/>
      </w:pPr>
      <w:r>
        <w:t>Duration: 5-year renewable visa with streamlined application process</w:t>
      </w:r>
    </w:p>
    <w:p>
      <w:pPr>
        <w:pStyle w:val="ListBullet"/>
      </w:pPr>
      <w:r>
        <w:t>Benefits: Family sponsorship, property ownership rights, work flexibility</w:t>
      </w:r>
    </w:p>
    <w:p>
      <w:pPr>
        <w:pStyle w:val="Heading2"/>
      </w:pPr>
      <w:r>
        <w:t>Work Permit Exemptions &amp; Streamlining</w:t>
      </w:r>
    </w:p>
    <w:p>
      <w:pPr>
        <w:pStyle w:val="ListBullet"/>
      </w:pPr>
      <w:r>
        <w:t>Work permit exemptions for foreign experts at National Innovation Center</w:t>
      </w:r>
    </w:p>
    <w:p>
      <w:pPr>
        <w:pStyle w:val="ListBullet"/>
      </w:pPr>
      <w:r>
        <w:t>Experience requirements reduced by 33-40% for technology roles</w:t>
      </w:r>
    </w:p>
    <w:p>
      <w:pPr>
        <w:pStyle w:val="ListBullet"/>
      </w:pPr>
      <w:r>
        <w:t>Fast-track processing for STEM professionals and startup founders</w:t>
      </w:r>
    </w:p>
    <w:p>
      <w:pPr>
        <w:pStyle w:val="Heading1"/>
      </w:pPr>
      <w:r>
        <w:t>6. Open Source &amp; Domestic Technology Promotion</w:t>
      </w:r>
    </w:p>
    <w:p>
      <w:pPr>
        <w:pStyle w:val="Heading2"/>
      </w:pPr>
      <w:r>
        <w:t>Circular 34/2025: Government Procurement Preferences</w:t>
      </w:r>
    </w:p>
    <w:p>
      <w:pPr>
        <w:pStyle w:val="ListBullet"/>
      </w:pPr>
      <w:r>
        <w:t>Preferential treatment for Vietnamese open-source software products</w:t>
      </w:r>
    </w:p>
    <w:p>
      <w:pPr>
        <w:pStyle w:val="ListBullet"/>
      </w:pPr>
      <w:r>
        <w:t>Requirement for government agencies to consider domestic solutions first</w:t>
      </w:r>
    </w:p>
    <w:p>
      <w:pPr>
        <w:pStyle w:val="ListBullet"/>
      </w:pPr>
      <w:r>
        <w:t>Supports local software development and reduces foreign technology dependence</w:t>
      </w:r>
    </w:p>
    <w:p>
      <w:pPr>
        <w:pStyle w:val="ListBullet"/>
      </w:pPr>
      <w:r>
        <w:t>Promotes transparency and security through open-source adoption</w:t>
      </w:r>
    </w:p>
    <w:p>
      <w:pPr>
        <w:pStyle w:val="Heading1"/>
      </w:pPr>
      <w:r>
        <w:t>7. Strategic Timeline &amp; National Targets</w:t>
      </w:r>
    </w:p>
    <w:p>
      <w:pPr>
        <w:pStyle w:val="Heading2"/>
      </w:pPr>
      <w:r>
        <w:t>2025 Milestones</w:t>
      </w:r>
    </w:p>
    <w:p>
      <w:pPr>
        <w:pStyle w:val="ListBullet"/>
      </w:pPr>
      <w:r>
        <w:t>Digital economy: 20% of GDP</w:t>
      </w:r>
    </w:p>
    <w:p>
      <w:pPr>
        <w:pStyle w:val="ListBullet"/>
      </w:pPr>
      <w:r>
        <w:t>Launch National Venture Capital Fund</w:t>
      </w:r>
    </w:p>
    <w:p>
      <w:pPr>
        <w:pStyle w:val="ListBullet"/>
      </w:pPr>
      <w:r>
        <w:t>30% reduction in administrative burden for businesses</w:t>
      </w:r>
    </w:p>
    <w:p>
      <w:pPr>
        <w:pStyle w:val="ListBullet"/>
      </w:pPr>
      <w:r>
        <w:t>5-Year Talent Visa program operational</w:t>
      </w:r>
    </w:p>
    <w:p>
      <w:pPr>
        <w:pStyle w:val="Heading2"/>
      </w:pPr>
      <w:r>
        <w:t>2027 Milestones</w:t>
      </w:r>
    </w:p>
    <w:p>
      <w:pPr>
        <w:pStyle w:val="ListBullet"/>
      </w:pPr>
      <w:r>
        <w:t>Semiconductor self-reliance in chip design and production</w:t>
      </w:r>
    </w:p>
    <w:p>
      <w:pPr>
        <w:pStyle w:val="ListBullet"/>
      </w:pPr>
      <w:r>
        <w:t>Operational domestic semiconductor fabrication facilities</w:t>
      </w:r>
    </w:p>
    <w:p>
      <w:pPr>
        <w:pStyle w:val="Heading2"/>
      </w:pPr>
      <w:r>
        <w:t>2030 Vision</w:t>
      </w:r>
    </w:p>
    <w:p>
      <w:pPr>
        <w:pStyle w:val="ListBullet"/>
      </w:pPr>
      <w:r>
        <w:t>Digital economy: 30% of GDP</w:t>
      </w:r>
    </w:p>
    <w:p>
      <w:pPr>
        <w:pStyle w:val="ListBullet"/>
      </w:pPr>
      <w:r>
        <w:t>R&amp;D investment: 2% of GDP</w:t>
      </w:r>
    </w:p>
    <w:p>
      <w:pPr>
        <w:pStyle w:val="ListBullet"/>
      </w:pPr>
      <w:r>
        <w:t>Innovation ranking: Top 3 in ASEAN</w:t>
      </w:r>
    </w:p>
    <w:p>
      <w:pPr>
        <w:pStyle w:val="ListBullet"/>
      </w:pPr>
      <w:r>
        <w:t>Innovation ranking: Top 40 globally</w:t>
      </w:r>
    </w:p>
    <w:p>
      <w:pPr>
        <w:pStyle w:val="Heading2"/>
      </w:pPr>
      <w:r>
        <w:t>2045 Long-term Vision</w:t>
      </w:r>
    </w:p>
    <w:p>
      <w:pPr>
        <w:pStyle w:val="ListBullet"/>
      </w:pPr>
      <w:r>
        <w:t>Digital economy: 50% of GDP</w:t>
      </w:r>
    </w:p>
    <w:p>
      <w:pPr>
        <w:pStyle w:val="ListBullet"/>
      </w:pPr>
      <w:r>
        <w:t>National status: High-income developed nation</w:t>
      </w:r>
    </w:p>
    <w:p>
      <w:pPr>
        <w:pStyle w:val="ListBullet"/>
      </w:pPr>
      <w:r>
        <w:t>Global innovation leadership in Southeast Asia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Source: OS Research Engine | January 2025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