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IBM Plex Sans" w:hAnsi="IBM Plex Sans" w:eastAsia="IBM Plex Sans"/>
          <w:b/>
          <w:color w:val="003366"/>
          <w:sz w:val="48"/>
        </w:rPr>
        <w:t>Vietnam's Top Problems: Blue Ocean Analysis &amp; Critical Hypotheses</w:t>
      </w:r>
    </w:p>
    <w:p>
      <w:pPr>
        <w:jc w:val="center"/>
      </w:pPr>
      <w:r>
        <w:rPr>
          <w:rFonts w:ascii="IBM Plex Sans" w:hAnsi="IBM Plex Sans" w:eastAsia="IBM Plex Sans"/>
          <w:b w:val="0"/>
          <w:color w:val="646464"/>
          <w:sz w:val="24"/>
        </w:rPr>
        <w:t>OS Research Engine | January 24, 2026</w:t>
      </w:r>
    </w:p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1. Executive Summary</w:t>
      </w:r>
    </w:p>
    <w:p>
      <w:r>
        <w:rPr>
          <w:rFonts w:ascii="IBM Plex Sans" w:hAnsi="IBM Plex Sans" w:eastAsia="IBM Plex Sans"/>
          <w:b w:val="0"/>
          <w:sz w:val="22"/>
        </w:rPr>
        <w:t>Vietnam faces critical challenges across 5 domains. After comprehensive research including social listening on Vietnamese forums (Voz.vn, Tinhte.vn) and Blue Ocean Strategy analysis, we identified Insurance Trust Crisis as the #1 opportunity for value innovation.</w:t>
      </w:r>
    </w:p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Key Findings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Life insurance contracting 3rd consecutive year (-12%, -5.7%, -1.3%)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Only 1.3% GDP penetration vs 3.5-8.7% regional peers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67% informal workers without social protection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$24 billion SME financing gap (only 9.3% access bank loans)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Hanoi ranked world's most polluted city (January 2025)</w:t>
      </w:r>
    </w:p>
    <w:p>
      <w:r>
        <w:rPr>
          <w:rFonts w:ascii="IBM Plex Sans" w:hAnsi="IBM Plex Sans" w:eastAsia="IBM Plex Sans"/>
          <w:b/>
          <w:sz w:val="22"/>
        </w:rPr>
        <w:t>Recommended Focus: Embedded Micro-Insurance Platform targeting informal workers through e-wallet/e-commerce checkout integration.</w:t>
      </w:r>
    </w:p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2. Top 5 Problem Domains Researched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Domain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Key Pain Points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Economic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67% informal workers without social protection; Middle class growing 26% to 55% by 2030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Education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77-point digital divide (95% richest vs 18% poorest with internet); EdTech market $364.7M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Healthcare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200% hospital occupation; $270/person spending; Only 1.3% GDP insurance penetration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Urban Living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Hanoi #1 most polluted globally; 70,000 deaths/year; $14B economic cost (7% GDP)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Financial Services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$24B SME financing gap; Only 9.3% SMEs access bank loans; 3% credit card penetration</w:t>
            </w:r>
          </w:p>
        </w:tc>
      </w:tr>
    </w:tbl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3. Social Listening Insights (Voz.vn Forums)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Pain Point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Vietnamese Quote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English Translation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Insurance Agent Quality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Tuyen o at doi ngu CTV, khong dao tao bai ban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Mass recruitment, no proper training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Bancassurance Coercion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Ep mua bao hiem moi duoc giai ngan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Forced to buy insurance to get loan</w:t>
            </w:r>
          </w:p>
        </w:tc>
      </w:tr>
      <w:tr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Claims Rejection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Khong can thiet ve mat y khoa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Rejected as 'not medically necessary'</w:t>
            </w:r>
          </w:p>
        </w:tc>
      </w:tr>
      <w:tr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Mis-selling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TV vien leo lai BH la hinh thuc tiet kiem</w:t>
            </w:r>
          </w:p>
        </w:tc>
        <w:tc>
          <w:tcPr>
            <w:tcW w:type="dxa" w:w="288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Agents position insurance as savings</w:t>
            </w:r>
          </w:p>
        </w:tc>
      </w:tr>
    </w:tbl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4. Blue Ocean Strategy Analysis</w:t>
      </w:r>
    </w:p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Top 3 Problems Ranked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Rank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Problem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Score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Insurance Trust Crisis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90/100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Clearest non-customer segment, strongest pain signal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Urban Air Pollution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77.5/100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Strong pain but capital-intensive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SME Financing Gap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70/100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Large market but competitive window closing</w:t>
            </w:r>
          </w:p>
        </w:tc>
      </w:tr>
    </w:tbl>
    <w:p/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Four Actions Framework: Insurance Trust Crisis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Application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ELIMINATE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Agents, complex documents, medical exams, pre-existing exclusions, claims rejection culture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REDUCE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Premium costs (VND 50K vs 500K+), policy duration (daily vs annual), paperwork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RAISE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Transparency, speed (24hr claims), trust, accessibility (e-wallet integration)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CREATE</w:t>
            </w:r>
          </w:p>
        </w:tc>
        <w:tc>
          <w:tcPr>
            <w:tcW w:type="dxa" w:w="432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Embedded checkout insurance, micro-policies (VND 5K-50K), AI claims, public trust score</w:t>
            </w:r>
          </w:p>
        </w:tc>
      </w:tr>
    </w:tbl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5. Critical Hypotheses (5 Prioritized)</w:t>
      </w:r>
    </w:p>
    <w:p>
      <w:r>
        <w:rPr>
          <w:rFonts w:ascii="IBM Plex Sans" w:hAnsi="IBM Plex Sans" w:eastAsia="IBM Plex Sans"/>
          <w:b/>
          <w:sz w:val="22"/>
        </w:rPr>
        <w:t>EXPERIMENT (Test Immediately) - Important + No Evidence</w:t>
      </w:r>
    </w:p>
    <w:p/>
    <w:p>
      <w:r>
        <w:rPr>
          <w:rFonts w:ascii="IBM Plex Sans" w:hAnsi="IBM Plex Sans" w:eastAsia="IBM Plex Sans"/>
          <w:b/>
          <w:sz w:val="22"/>
        </w:rPr>
        <w:t>H1: Willingness to Buy Micro-Insurance [Desirability]</w:t>
      </w:r>
    </w:p>
    <w:p>
      <w:r>
        <w:rPr>
          <w:rFonts w:ascii="IBM Plex Sans" w:hAnsi="IBM Plex Sans" w:eastAsia="IBM Plex Sans"/>
          <w:b w:val="0"/>
          <w:sz w:val="22"/>
        </w:rPr>
        <w:t>We believe that informal workers (Grab drivers, street vendors) will opt-in to VND 10K-50K hospital coverage at e-wallet checkout, with conversion rates above 5%.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Test: A/B test at MoMo checkout for 1,000 users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Success: &gt;5% opt-in rate</w:t>
      </w:r>
    </w:p>
    <w:p/>
    <w:p>
      <w:r>
        <w:rPr>
          <w:rFonts w:ascii="IBM Plex Sans" w:hAnsi="IBM Plex Sans" w:eastAsia="IBM Plex Sans"/>
          <w:b/>
          <w:sz w:val="22"/>
        </w:rPr>
        <w:t>H2: Trust Through Transparency [Desirability]</w:t>
      </w:r>
    </w:p>
    <w:p>
      <w:r>
        <w:rPr>
          <w:rFonts w:ascii="IBM Plex Sans" w:hAnsi="IBM Plex Sans" w:eastAsia="IBM Plex Sans"/>
          <w:b w:val="0"/>
          <w:sz w:val="22"/>
        </w:rPr>
        <w:t>We believe that Vietnamese consumers who distrust insurance will consider purchasing if claims approval rates are publicly displayed (&gt;85%) and payouts occur within 24 hours.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Test: Landing page A/B (traditional vs transparency messaging)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Success: Transparency variant 2x higher CTR</w:t>
      </w:r>
    </w:p>
    <w:p/>
    <w:p>
      <w:r>
        <w:rPr>
          <w:rFonts w:ascii="IBM Plex Sans" w:hAnsi="IBM Plex Sans" w:eastAsia="IBM Plex Sans"/>
          <w:b/>
          <w:sz w:val="22"/>
        </w:rPr>
        <w:t>H3: Pre-existing Conditions Inclusion [Desirability]</w:t>
      </w:r>
    </w:p>
    <w:p>
      <w:r>
        <w:rPr>
          <w:rFonts w:ascii="IBM Plex Sans" w:hAnsi="IBM Plex Sans" w:eastAsia="IBM Plex Sans"/>
          <w:b w:val="0"/>
          <w:sz w:val="22"/>
        </w:rPr>
        <w:t>We believe that Vietnamese adults with pre-existing conditions (diabetes, hypertension) will pay VND 100K-200K/month for coverage that INCLUDES their conditions.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Test: Survey 200 adults with conditions + WTP ladder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Success: 60%+ willing at 100K/month</w:t>
      </w:r>
    </w:p>
    <w:p/>
    <w:p>
      <w:r>
        <w:rPr>
          <w:rFonts w:ascii="IBM Plex Sans" w:hAnsi="IBM Plex Sans" w:eastAsia="IBM Plex Sans"/>
          <w:b/>
          <w:sz w:val="22"/>
        </w:rPr>
        <w:t>DEFER (Test After Validation) - Viability</w:t>
      </w:r>
    </w:p>
    <w:p/>
    <w:p>
      <w:r>
        <w:rPr>
          <w:rFonts w:ascii="IBM Plex Sans" w:hAnsi="IBM Plex Sans" w:eastAsia="IBM Plex Sans"/>
          <w:b/>
          <w:sz w:val="22"/>
        </w:rPr>
        <w:t>H4: Unit Economics [Viability]</w:t>
      </w:r>
    </w:p>
    <w:p>
      <w:r>
        <w:rPr>
          <w:rFonts w:ascii="IBM Plex Sans" w:hAnsi="IBM Plex Sans" w:eastAsia="IBM Plex Sans"/>
          <w:b w:val="0"/>
          <w:sz w:val="22"/>
        </w:rPr>
        <w:t>We believe that micro-insurance at VND 10K-50K/week can achieve combined ratio below 90% with AI-assisted claims processing.</w:t>
      </w:r>
    </w:p>
    <w:p/>
    <w:p>
      <w:r>
        <w:rPr>
          <w:rFonts w:ascii="IBM Plex Sans" w:hAnsi="IBM Plex Sans" w:eastAsia="IBM Plex Sans"/>
          <w:b/>
          <w:sz w:val="22"/>
        </w:rPr>
        <w:t>H5: Partnership Terms [Viability]</w:t>
      </w:r>
    </w:p>
    <w:p>
      <w:r>
        <w:rPr>
          <w:rFonts w:ascii="IBM Plex Sans" w:hAnsi="IBM Plex Sans" w:eastAsia="IBM Plex Sans"/>
          <w:b w:val="0"/>
          <w:sz w:val="22"/>
        </w:rPr>
        <w:t>We believe that e-wallet partners will accept &lt;20% commission because embedded insurance increases user retention and ARPU.</w:t>
      </w:r>
    </w:p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6. Recommended Testing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Timeline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Hypothesis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Test Method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Success Criteria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Est. Cost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Week 1-2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H1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E-wallet A/B or Fake door ad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&gt;5% opt-in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VND 10M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Week 2-3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H2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Landing page variants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2x CTR difference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VND 5M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Week 3-4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H3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Survey + WTP analysis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60%+ at 100K/month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VND 5M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Week 5+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H4, H5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Pilot program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Combined ratio &lt;90%</w:t>
            </w:r>
          </w:p>
        </w:tc>
        <w:tc>
          <w:tcPr>
            <w:tcW w:type="dxa" w:w="1728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TBD</w:t>
            </w:r>
          </w:p>
        </w:tc>
      </w:tr>
    </w:tbl>
    <w:p>
      <w:r>
        <w:rPr>
          <w:rFonts w:ascii="IBM Plex Sans" w:hAnsi="IBM Plex Sans" w:eastAsia="IBM Plex Sans"/>
          <w:b/>
          <w:sz w:val="22"/>
        </w:rPr>
        <w:t>Total estimated cost for initial validation: VND 20-50M ($800-2,000 USD)</w:t>
      </w:r>
    </w:p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7. Key Customer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Size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Pain Level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rFonts w:ascii="IBM Plex Sans" w:hAnsi="IBM Plex Sans" w:eastAsia="IBM Plex Sans"/>
                <w:b/>
                <w:color w:val="FFFFFF"/>
                <w:sz w:val="22"/>
              </w:rPr>
              <w:t>Willingness to Pay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Informal Workers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67% of workforce (~40M)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Low-Moderate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Rural Populations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63% of population (~64M)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Moderate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SMEs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95% of enterprises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Young Professionals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Growing urban segment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Urban Commuters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12M+ in HCMC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IBM Plex Sans" w:hAnsi="IBM Plex Sans" w:eastAsia="IBM Plex Sans"/>
                <w:b w:val="0"/>
                <w:sz w:val="20"/>
              </w:rPr>
              <w:t>Moderate-High</w:t>
            </w:r>
          </w:p>
        </w:tc>
      </w:tr>
    </w:tbl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8. Next Steps for OS Research</w:t>
      </w:r>
    </w:p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Immediate (Week 1-2)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Design fake door ad test for H1 targeting Grab drivers on Facebook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Build landing page variants for H2 transparency test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Deploy survey for H3 pre-existing conditions segment</w:t>
      </w:r>
    </w:p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Short-term (Month 1)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Compile results, decide go/no-go on Insurance Trust Crisis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If validated, initiate partner conversations (MoMo, ZaloPay, Grab)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Research InsurTech regulatory requirements (SBV sandbox)</w:t>
      </w:r>
    </w:p>
    <w:p>
      <w:pPr>
        <w:pStyle w:val="Heading2"/>
      </w:pPr>
      <w:r>
        <w:rPr>
          <w:rFonts w:ascii="IBM Plex Sans" w:hAnsi="IBM Plex Sans" w:eastAsia="IBM Plex Sans"/>
          <w:b/>
          <w:color w:val="003366"/>
          <w:sz w:val="28"/>
        </w:rPr>
        <w:t>Medium-term (Month 2-3)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Build MVP prototype for pilot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Secure insurance license partnership or sandbox approval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Launch pilot with 1,000 users</w:t>
      </w:r>
    </w:p>
    <w:p/>
    <w:p>
      <w:pPr>
        <w:pStyle w:val="Heading1"/>
      </w:pPr>
      <w:r>
        <w:rPr>
          <w:rFonts w:ascii="IBM Plex Sans" w:hAnsi="IBM Plex Sans" w:eastAsia="IBM Plex Sans"/>
          <w:b/>
          <w:color w:val="003366"/>
          <w:sz w:val="32"/>
        </w:rPr>
        <w:t>Sources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OECD Economic Surveys: Viet Nam 2025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EdTech Hub Vietnam Rapid Scan (November 2024)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FiinGroup Vietnam SME Credit Outlook 2025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McKinsey: Unlocking value in Vietnam's banking market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Social Listening: Voz.vn, Tinhte.vn forums (January 2026)</w:t>
      </w:r>
    </w:p>
    <w:p>
      <w:pPr>
        <w:pStyle w:val="ListBullet"/>
        <w:ind w:left="360"/>
      </w:pPr>
      <w:r>
        <w:rPr>
          <w:rFonts w:ascii="IBM Plex Sans" w:hAnsi="IBM Plex Sans" w:eastAsia="IBM Plex Sans"/>
          <w:b w:val="0"/>
          <w:sz w:val="22"/>
        </w:rPr>
        <w:t>AirVisual Air Quality Data (January 2025)</w:t>
      </w:r>
    </w:p>
    <w:p/>
    <w:p>
      <w:pPr>
        <w:jc w:val="center"/>
      </w:pPr>
      <w:r>
        <w:rPr>
          <w:rFonts w:ascii="IBM Plex Sans" w:hAnsi="IBM Plex Sans" w:eastAsia="IBM Plex Sans"/>
          <w:b w:val="0"/>
          <w:color w:val="646464"/>
          <w:sz w:val="20"/>
        </w:rPr>
        <w:t>Report Compiled: January 24, 2026 | OS Research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