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BCE2F" w14:textId="4DDE4070" w:rsidR="003002E6" w:rsidRDefault="00000000" w:rsidP="007E6DB7">
      <w:pPr>
        <w:pStyle w:val="Title"/>
        <w:jc w:val="center"/>
      </w:pPr>
      <w:r>
        <w:rPr>
          <w:rFonts w:ascii="IBM Plex Sans" w:eastAsia="IBM Plex Sans" w:hAnsi="IBM Plex Sans"/>
          <w:b/>
          <w:color w:val="003366"/>
          <w:sz w:val="48"/>
        </w:rPr>
        <w:t xml:space="preserve">AI-First Venture Execution Platform </w:t>
      </w:r>
      <w:r w:rsidR="007E6DB7">
        <w:rPr>
          <w:rFonts w:ascii="IBM Plex Sans" w:eastAsia="IBM Plex Sans" w:hAnsi="IBM Plex Sans"/>
          <w:b/>
          <w:color w:val="003366"/>
          <w:sz w:val="48"/>
          <w:lang w:val="vi-VN"/>
        </w:rPr>
        <w:t>&amp;</w:t>
      </w:r>
      <w:r>
        <w:rPr>
          <w:rFonts w:ascii="IBM Plex Sans" w:eastAsia="IBM Plex Sans" w:hAnsi="IBM Plex Sans"/>
          <w:b/>
          <w:color w:val="003366"/>
          <w:sz w:val="48"/>
        </w:rPr>
        <w:t xml:space="preserve"> OS Research</w:t>
      </w:r>
    </w:p>
    <w:p w14:paraId="7CB1BFB5" w14:textId="77777777" w:rsidR="003002E6" w:rsidRDefault="00000000">
      <w:pPr>
        <w:jc w:val="center"/>
      </w:pPr>
      <w:r>
        <w:rPr>
          <w:rFonts w:ascii="IBM Plex Sans" w:eastAsia="IBM Plex Sans" w:hAnsi="IBM Plex Sans"/>
          <w:color w:val="646464"/>
          <w:sz w:val="24"/>
        </w:rPr>
        <w:t>Comparative Analysis | January 2026</w:t>
      </w:r>
    </w:p>
    <w:p w14:paraId="4A146C67" w14:textId="77777777" w:rsidR="003002E6" w:rsidRDefault="003002E6"/>
    <w:p w14:paraId="0C8F899B" w14:textId="77777777" w:rsidR="003002E6" w:rsidRDefault="00000000">
      <w:pPr>
        <w:pStyle w:val="Heading1"/>
      </w:pPr>
      <w:r>
        <w:rPr>
          <w:rFonts w:ascii="IBM Plex Sans" w:eastAsia="IBM Plex Sans" w:hAnsi="IBM Plex Sans"/>
          <w:color w:val="003366"/>
          <w:sz w:val="32"/>
        </w:rPr>
        <w:t>1. Executive Summary</w:t>
      </w:r>
    </w:p>
    <w:p w14:paraId="799EBF25" w14:textId="77777777" w:rsidR="003002E6" w:rsidRDefault="00000000">
      <w:r>
        <w:rPr>
          <w:rFonts w:ascii="IBM Plex Sans" w:eastAsia="IBM Plex Sans" w:hAnsi="IBM Plex Sans"/>
        </w:rPr>
        <w:t>This document analyzes the AI-First Venture Execution Platform (AVEP) strategic brief and compares it to the OS Research (OSR) model. Both aim to create venture value through AI-enabled systems, but target fundamentally different problems and markets.</w:t>
      </w:r>
    </w:p>
    <w:p w14:paraId="5A17E55A" w14:textId="77777777" w:rsidR="003002E6" w:rsidRDefault="00000000">
      <w:r>
        <w:rPr>
          <w:rFonts w:ascii="IBM Plex Sans" w:eastAsia="IBM Plex Sans" w:hAnsi="IBM Plex Sans"/>
          <w:b/>
        </w:rPr>
        <w:t>Key Distinction:</w:t>
      </w:r>
    </w:p>
    <w:p w14:paraId="61C691B9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AVEP: 'Can we execute this better?' - Fix broken execution in large enterprises</w:t>
      </w:r>
    </w:p>
    <w:p w14:paraId="19D152DB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OSR: 'Should this exist at all?' - Validate new market opportunities before building</w:t>
      </w:r>
    </w:p>
    <w:p w14:paraId="0E645D93" w14:textId="77777777" w:rsidR="003002E6" w:rsidRDefault="003002E6"/>
    <w:p w14:paraId="3B6684DA" w14:textId="77777777" w:rsidR="003002E6" w:rsidRDefault="00000000">
      <w:pPr>
        <w:pStyle w:val="Heading1"/>
      </w:pPr>
      <w:r>
        <w:rPr>
          <w:rFonts w:ascii="IBM Plex Sans" w:eastAsia="IBM Plex Sans" w:hAnsi="IBM Plex Sans"/>
          <w:color w:val="003366"/>
          <w:sz w:val="32"/>
        </w:rPr>
        <w:t>2. AI-First Venture Execution Platform: Core Thesis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002E6" w14:paraId="7F88A9A1" w14:textId="77777777">
        <w:tc>
          <w:tcPr>
            <w:tcW w:w="4320" w:type="dxa"/>
            <w:shd w:val="clear" w:color="auto" w:fill="003366"/>
          </w:tcPr>
          <w:p w14:paraId="67037EBA" w14:textId="77777777" w:rsidR="003002E6" w:rsidRDefault="00000000">
            <w:pPr>
              <w:jc w:val="center"/>
            </w:pPr>
            <w:r>
              <w:rPr>
                <w:rFonts w:ascii="IBM Plex Sans" w:eastAsia="IBM Plex Sans" w:hAnsi="IBM Plex Sans"/>
                <w:b/>
                <w:color w:val="FFFFFF"/>
                <w:sz w:val="20"/>
              </w:rPr>
              <w:t>Dimension</w:t>
            </w:r>
          </w:p>
        </w:tc>
        <w:tc>
          <w:tcPr>
            <w:tcW w:w="4320" w:type="dxa"/>
            <w:shd w:val="clear" w:color="auto" w:fill="003366"/>
          </w:tcPr>
          <w:p w14:paraId="0C21961E" w14:textId="77777777" w:rsidR="003002E6" w:rsidRDefault="00000000">
            <w:pPr>
              <w:jc w:val="center"/>
            </w:pPr>
            <w:r>
              <w:rPr>
                <w:rFonts w:ascii="IBM Plex Sans" w:eastAsia="IBM Plex Sans" w:hAnsi="IBM Plex Sans"/>
                <w:b/>
                <w:color w:val="FFFFFF"/>
                <w:sz w:val="20"/>
              </w:rPr>
              <w:t>AVEP Proposition</w:t>
            </w:r>
          </w:p>
        </w:tc>
      </w:tr>
      <w:tr w:rsidR="003002E6" w14:paraId="53EF7B3A" w14:textId="77777777">
        <w:tc>
          <w:tcPr>
            <w:tcW w:w="4320" w:type="dxa"/>
          </w:tcPr>
          <w:p w14:paraId="38E07030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Problem</w:t>
            </w:r>
          </w:p>
        </w:tc>
        <w:tc>
          <w:tcPr>
            <w:tcW w:w="4320" w:type="dxa"/>
          </w:tcPr>
          <w:p w14:paraId="153CAE18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Large ecosystems generate more opportunities than they can execute</w:t>
            </w:r>
          </w:p>
        </w:tc>
      </w:tr>
      <w:tr w:rsidR="003002E6" w14:paraId="0C0EB3B9" w14:textId="77777777">
        <w:tc>
          <w:tcPr>
            <w:tcW w:w="4320" w:type="dxa"/>
          </w:tcPr>
          <w:p w14:paraId="255735DD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Root Cause</w:t>
            </w:r>
          </w:p>
        </w:tc>
        <w:tc>
          <w:tcPr>
            <w:tcW w:w="4320" w:type="dxa"/>
          </w:tcPr>
          <w:p w14:paraId="1DBA384D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Accountability fragmentation, coordination costs, decision latency</w:t>
            </w:r>
          </w:p>
        </w:tc>
      </w:tr>
      <w:tr w:rsidR="003002E6" w14:paraId="3D6F90C4" w14:textId="77777777">
        <w:tc>
          <w:tcPr>
            <w:tcW w:w="4320" w:type="dxa"/>
          </w:tcPr>
          <w:p w14:paraId="2B117A34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Solution</w:t>
            </w:r>
          </w:p>
        </w:tc>
        <w:tc>
          <w:tcPr>
            <w:tcW w:w="4320" w:type="dxa"/>
          </w:tcPr>
          <w:p w14:paraId="5889E6FE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AI-first platform that owns execution end-to-end, compounds learning</w:t>
            </w:r>
          </w:p>
        </w:tc>
      </w:tr>
      <w:tr w:rsidR="003002E6" w14:paraId="382B4EE1" w14:textId="77777777">
        <w:tc>
          <w:tcPr>
            <w:tcW w:w="4320" w:type="dxa"/>
          </w:tcPr>
          <w:p w14:paraId="7C1177A8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Model</w:t>
            </w:r>
          </w:p>
        </w:tc>
        <w:tc>
          <w:tcPr>
            <w:tcW w:w="4320" w:type="dxa"/>
          </w:tcPr>
          <w:p w14:paraId="45285AAC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Cash Engine (consulting) + Venture Engine (equity)</w:t>
            </w:r>
          </w:p>
        </w:tc>
      </w:tr>
      <w:tr w:rsidR="003002E6" w14:paraId="6E0945F7" w14:textId="77777777">
        <w:tc>
          <w:tcPr>
            <w:tcW w:w="4320" w:type="dxa"/>
          </w:tcPr>
          <w:p w14:paraId="707DD1C5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Scale</w:t>
            </w:r>
          </w:p>
        </w:tc>
        <w:tc>
          <w:tcPr>
            <w:tcW w:w="4320" w:type="dxa"/>
          </w:tcPr>
          <w:p w14:paraId="25E57013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VND 40bn → 400bn revenue over 5 years</w:t>
            </w:r>
          </w:p>
        </w:tc>
      </w:tr>
    </w:tbl>
    <w:p w14:paraId="74CE165A" w14:textId="77777777" w:rsidR="003002E6" w:rsidRDefault="003002E6"/>
    <w:p w14:paraId="213C840B" w14:textId="77777777" w:rsidR="003002E6" w:rsidRDefault="00000000">
      <w:pPr>
        <w:pStyle w:val="Heading2"/>
      </w:pPr>
      <w:r>
        <w:rPr>
          <w:rFonts w:ascii="IBM Plex Sans" w:eastAsia="IBM Plex Sans" w:hAnsi="IBM Plex Sans"/>
          <w:color w:val="003366"/>
          <w:sz w:val="28"/>
        </w:rPr>
        <w:t>2.1 Strengths of AVEP Model</w:t>
      </w:r>
    </w:p>
    <w:p w14:paraId="29A24B86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Clear structural insight - 'chronic value leakage' in large organizations is real</w:t>
      </w:r>
    </w:p>
    <w:p w14:paraId="52382FFE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Downside protection - degrades gracefully into elite execution firm</w:t>
      </w:r>
    </w:p>
    <w:p w14:paraId="5095F4B8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Capital discipline - bootstrapped, cash-generative before venture activity</w:t>
      </w:r>
    </w:p>
    <w:p w14:paraId="23DA21B2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AI as infrastructure - not automation, but compounding institutional memory</w:t>
      </w:r>
    </w:p>
    <w:p w14:paraId="024B5DE5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Dual engine - stability before optionality</w:t>
      </w:r>
    </w:p>
    <w:p w14:paraId="205DBE75" w14:textId="77777777" w:rsidR="003002E6" w:rsidRDefault="00000000">
      <w:pPr>
        <w:pStyle w:val="Heading2"/>
      </w:pPr>
      <w:r>
        <w:rPr>
          <w:rFonts w:ascii="IBM Plex Sans" w:eastAsia="IBM Plex Sans" w:hAnsi="IBM Plex Sans"/>
          <w:color w:val="003366"/>
          <w:sz w:val="28"/>
        </w:rPr>
        <w:lastRenderedPageBreak/>
        <w:t>2.2 Weaknesses Identified</w:t>
      </w:r>
    </w:p>
    <w:p w14:paraId="4760650C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No explicit go-to-market or beachhead customer</w:t>
      </w:r>
    </w:p>
    <w:p w14:paraId="58116655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Partner governance and IP protection unclear</w:t>
      </w:r>
    </w:p>
    <w:p w14:paraId="2E8FB714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10x revenue growth assumptions aggressive</w:t>
      </w:r>
    </w:p>
    <w:p w14:paraId="5A6F38D4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'Execution intelligence' not operationally defined</w:t>
      </w:r>
    </w:p>
    <w:p w14:paraId="77E4108D" w14:textId="77777777" w:rsidR="003002E6" w:rsidRDefault="003002E6"/>
    <w:p w14:paraId="035BF4E0" w14:textId="77777777" w:rsidR="003002E6" w:rsidRDefault="00000000">
      <w:pPr>
        <w:pStyle w:val="Heading1"/>
      </w:pPr>
      <w:r>
        <w:rPr>
          <w:rFonts w:ascii="IBM Plex Sans" w:eastAsia="IBM Plex Sans" w:hAnsi="IBM Plex Sans"/>
          <w:color w:val="003366"/>
          <w:sz w:val="32"/>
        </w:rPr>
        <w:t>3. Side-by-Side Comparison: AVEP vs OSR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002E6" w14:paraId="2CDA46F0" w14:textId="77777777">
        <w:tc>
          <w:tcPr>
            <w:tcW w:w="2880" w:type="dxa"/>
            <w:shd w:val="clear" w:color="auto" w:fill="003366"/>
          </w:tcPr>
          <w:p w14:paraId="79CDEE64" w14:textId="77777777" w:rsidR="003002E6" w:rsidRDefault="00000000">
            <w:pPr>
              <w:jc w:val="center"/>
            </w:pPr>
            <w:r>
              <w:rPr>
                <w:rFonts w:ascii="IBM Plex Sans" w:eastAsia="IBM Plex Sans" w:hAnsi="IBM Plex Sans"/>
                <w:b/>
                <w:color w:val="FFFFFF"/>
                <w:sz w:val="20"/>
              </w:rPr>
              <w:t>Dimension</w:t>
            </w:r>
          </w:p>
        </w:tc>
        <w:tc>
          <w:tcPr>
            <w:tcW w:w="2880" w:type="dxa"/>
            <w:shd w:val="clear" w:color="auto" w:fill="003366"/>
          </w:tcPr>
          <w:p w14:paraId="6C3F7B4B" w14:textId="77777777" w:rsidR="003002E6" w:rsidRDefault="00000000">
            <w:pPr>
              <w:jc w:val="center"/>
            </w:pPr>
            <w:r>
              <w:rPr>
                <w:rFonts w:ascii="IBM Plex Sans" w:eastAsia="IBM Plex Sans" w:hAnsi="IBM Plex Sans"/>
                <w:b/>
                <w:color w:val="FFFFFF"/>
                <w:sz w:val="20"/>
              </w:rPr>
              <w:t>AVEP</w:t>
            </w:r>
          </w:p>
        </w:tc>
        <w:tc>
          <w:tcPr>
            <w:tcW w:w="2880" w:type="dxa"/>
            <w:shd w:val="clear" w:color="auto" w:fill="003366"/>
          </w:tcPr>
          <w:p w14:paraId="5A69EDF2" w14:textId="77777777" w:rsidR="003002E6" w:rsidRDefault="00000000">
            <w:pPr>
              <w:jc w:val="center"/>
            </w:pPr>
            <w:r>
              <w:rPr>
                <w:rFonts w:ascii="IBM Plex Sans" w:eastAsia="IBM Plex Sans" w:hAnsi="IBM Plex Sans"/>
                <w:b/>
                <w:color w:val="FFFFFF"/>
                <w:sz w:val="20"/>
              </w:rPr>
              <w:t>OS Research</w:t>
            </w:r>
          </w:p>
        </w:tc>
      </w:tr>
      <w:tr w:rsidR="003002E6" w14:paraId="72D860F7" w14:textId="77777777">
        <w:tc>
          <w:tcPr>
            <w:tcW w:w="2880" w:type="dxa"/>
          </w:tcPr>
          <w:p w14:paraId="4CE03FDA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Target Market</w:t>
            </w:r>
          </w:p>
        </w:tc>
        <w:tc>
          <w:tcPr>
            <w:tcW w:w="2880" w:type="dxa"/>
          </w:tcPr>
          <w:p w14:paraId="51FE5FCB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Large business ecosystems, enterprises</w:t>
            </w:r>
          </w:p>
        </w:tc>
        <w:tc>
          <w:tcPr>
            <w:tcW w:w="2880" w:type="dxa"/>
          </w:tcPr>
          <w:p w14:paraId="26ADC12B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Early-stage startups, entrepreneurs in Vietnam</w:t>
            </w:r>
          </w:p>
        </w:tc>
      </w:tr>
      <w:tr w:rsidR="003002E6" w14:paraId="37F7D015" w14:textId="77777777">
        <w:tc>
          <w:tcPr>
            <w:tcW w:w="2880" w:type="dxa"/>
          </w:tcPr>
          <w:p w14:paraId="720CD578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Problem Solved</w:t>
            </w:r>
          </w:p>
        </w:tc>
        <w:tc>
          <w:tcPr>
            <w:tcW w:w="2880" w:type="dxa"/>
          </w:tcPr>
          <w:p w14:paraId="71665274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Structural execution failure in complex orgs</w:t>
            </w:r>
          </w:p>
        </w:tc>
        <w:tc>
          <w:tcPr>
            <w:tcW w:w="2880" w:type="dxa"/>
          </w:tcPr>
          <w:p w14:paraId="7D7621B3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Validation failure - startups build without evidence</w:t>
            </w:r>
          </w:p>
        </w:tc>
      </w:tr>
      <w:tr w:rsidR="003002E6" w14:paraId="2957AD55" w14:textId="77777777">
        <w:tc>
          <w:tcPr>
            <w:tcW w:w="2880" w:type="dxa"/>
          </w:tcPr>
          <w:p w14:paraId="38F67971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Value Proposition</w:t>
            </w:r>
          </w:p>
        </w:tc>
        <w:tc>
          <w:tcPr>
            <w:tcW w:w="2880" w:type="dxa"/>
          </w:tcPr>
          <w:p w14:paraId="629DA649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Own execution outcomes end-to-end</w:t>
            </w:r>
          </w:p>
        </w:tc>
        <w:tc>
          <w:tcPr>
            <w:tcW w:w="2880" w:type="dxa"/>
          </w:tcPr>
          <w:p w14:paraId="55012E3D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De-risk early-stage ideas through systematic validation</w:t>
            </w:r>
          </w:p>
        </w:tc>
      </w:tr>
      <w:tr w:rsidR="003002E6" w14:paraId="5C6F62DB" w14:textId="77777777">
        <w:tc>
          <w:tcPr>
            <w:tcW w:w="2880" w:type="dxa"/>
          </w:tcPr>
          <w:p w14:paraId="23A1612F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Revenue Model</w:t>
            </w:r>
          </w:p>
        </w:tc>
        <w:tc>
          <w:tcPr>
            <w:tcW w:w="2880" w:type="dxa"/>
          </w:tcPr>
          <w:p w14:paraId="011A109C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B2B execution contracts (VND 40-400bn)</w:t>
            </w:r>
          </w:p>
        </w:tc>
        <w:tc>
          <w:tcPr>
            <w:tcW w:w="2880" w:type="dxa"/>
          </w:tcPr>
          <w:p w14:paraId="5FFBDD8D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Investment returns from validated portfolio companies</w:t>
            </w:r>
          </w:p>
        </w:tc>
      </w:tr>
      <w:tr w:rsidR="003002E6" w14:paraId="02630372" w14:textId="77777777">
        <w:tc>
          <w:tcPr>
            <w:tcW w:w="2880" w:type="dxa"/>
          </w:tcPr>
          <w:p w14:paraId="383061CC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AI Role</w:t>
            </w:r>
          </w:p>
        </w:tc>
        <w:tc>
          <w:tcPr>
            <w:tcW w:w="2880" w:type="dxa"/>
          </w:tcPr>
          <w:p w14:paraId="33249AB7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Execution orchestration, decision support</w:t>
            </w:r>
          </w:p>
        </w:tc>
        <w:tc>
          <w:tcPr>
            <w:tcW w:w="2880" w:type="dxa"/>
          </w:tcPr>
          <w:p w14:paraId="1E501C86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Research automation, hypothesis generation</w:t>
            </w:r>
          </w:p>
        </w:tc>
      </w:tr>
      <w:tr w:rsidR="003002E6" w14:paraId="07F7D2EE" w14:textId="77777777">
        <w:tc>
          <w:tcPr>
            <w:tcW w:w="2880" w:type="dxa"/>
          </w:tcPr>
          <w:p w14:paraId="2B87D9D2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Customer</w:t>
            </w:r>
          </w:p>
        </w:tc>
        <w:tc>
          <w:tcPr>
            <w:tcW w:w="2880" w:type="dxa"/>
          </w:tcPr>
          <w:p w14:paraId="15BC29FB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C-suite, ecosystem operators</w:t>
            </w:r>
          </w:p>
        </w:tc>
        <w:tc>
          <w:tcPr>
            <w:tcW w:w="2880" w:type="dxa"/>
          </w:tcPr>
          <w:p w14:paraId="6EA340BF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Founders, solo entrepreneurs, startup teams</w:t>
            </w:r>
          </w:p>
        </w:tc>
      </w:tr>
      <w:tr w:rsidR="003002E6" w14:paraId="62D96C9D" w14:textId="77777777">
        <w:tc>
          <w:tcPr>
            <w:tcW w:w="2880" w:type="dxa"/>
          </w:tcPr>
          <w:p w14:paraId="4963AB62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Scale Ambition</w:t>
            </w:r>
          </w:p>
        </w:tc>
        <w:tc>
          <w:tcPr>
            <w:tcW w:w="2880" w:type="dxa"/>
          </w:tcPr>
          <w:p w14:paraId="0FB2ADEA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Enterprise revenue (billions VND)</w:t>
            </w:r>
          </w:p>
        </w:tc>
        <w:tc>
          <w:tcPr>
            <w:tcW w:w="2880" w:type="dxa"/>
          </w:tcPr>
          <w:p w14:paraId="54C69F48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50 blue ocean companies created</w:t>
            </w:r>
          </w:p>
        </w:tc>
      </w:tr>
      <w:tr w:rsidR="003002E6" w14:paraId="04C1168F" w14:textId="77777777">
        <w:tc>
          <w:tcPr>
            <w:tcW w:w="2880" w:type="dxa"/>
          </w:tcPr>
          <w:p w14:paraId="4A28AC9C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Competitive Moat</w:t>
            </w:r>
          </w:p>
        </w:tc>
        <w:tc>
          <w:tcPr>
            <w:tcW w:w="2880" w:type="dxa"/>
          </w:tcPr>
          <w:p w14:paraId="1572B3E4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Accumulated execution intelligence</w:t>
            </w:r>
          </w:p>
        </w:tc>
        <w:tc>
          <w:tcPr>
            <w:tcW w:w="2880" w:type="dxa"/>
          </w:tcPr>
          <w:p w14:paraId="6C6BF5C9" w14:textId="1F76F2FB" w:rsidR="003002E6" w:rsidRDefault="0042645E">
            <w:r>
              <w:rPr>
                <w:rFonts w:ascii="IBM Plex Sans" w:eastAsia="IBM Plex Sans" w:hAnsi="IBM Plex Sans"/>
                <w:sz w:val="20"/>
              </w:rPr>
              <w:t>Accumulated execution intelligence</w:t>
            </w:r>
            <w:r>
              <w:rPr>
                <w:rFonts w:ascii="IBM Plex Sans" w:eastAsia="IBM Plex Sans" w:hAnsi="IBM Plex Sans"/>
                <w:sz w:val="20"/>
              </w:rPr>
              <w:t xml:space="preserve"> + Storytelling</w:t>
            </w:r>
          </w:p>
        </w:tc>
      </w:tr>
      <w:tr w:rsidR="003002E6" w14:paraId="5A8A05A2" w14:textId="77777777">
        <w:tc>
          <w:tcPr>
            <w:tcW w:w="2880" w:type="dxa"/>
          </w:tcPr>
          <w:p w14:paraId="7E8B2D0F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Risk Profile</w:t>
            </w:r>
          </w:p>
        </w:tc>
        <w:tc>
          <w:tcPr>
            <w:tcW w:w="2880" w:type="dxa"/>
          </w:tcPr>
          <w:p w14:paraId="3C4C92BC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B2B contract risk, partner dependency</w:t>
            </w:r>
          </w:p>
        </w:tc>
        <w:tc>
          <w:tcPr>
            <w:tcW w:w="2880" w:type="dxa"/>
          </w:tcPr>
          <w:p w14:paraId="60A5FA8E" w14:textId="58D3594A" w:rsidR="003002E6" w:rsidRDefault="00000000">
            <w:r>
              <w:rPr>
                <w:rFonts w:ascii="IBM Plex Sans" w:eastAsia="IBM Plex Sans" w:hAnsi="IBM Plex Sans"/>
                <w:sz w:val="20"/>
              </w:rPr>
              <w:t>Portfolio risk spread across many small bets</w:t>
            </w:r>
          </w:p>
        </w:tc>
      </w:tr>
      <w:tr w:rsidR="003002E6" w14:paraId="32B1545A" w14:textId="77777777">
        <w:tc>
          <w:tcPr>
            <w:tcW w:w="2880" w:type="dxa"/>
          </w:tcPr>
          <w:p w14:paraId="7C06EED7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Geographic Focus</w:t>
            </w:r>
          </w:p>
        </w:tc>
        <w:tc>
          <w:tcPr>
            <w:tcW w:w="2880" w:type="dxa"/>
          </w:tcPr>
          <w:p w14:paraId="3105A9E3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Singapore HQ + Vietnam ops</w:t>
            </w:r>
          </w:p>
        </w:tc>
        <w:tc>
          <w:tcPr>
            <w:tcW w:w="2880" w:type="dxa"/>
          </w:tcPr>
          <w:p w14:paraId="41534600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Vietnam-first, local market expertise</w:t>
            </w:r>
          </w:p>
        </w:tc>
      </w:tr>
    </w:tbl>
    <w:p w14:paraId="57FDDF2E" w14:textId="77777777" w:rsidR="003002E6" w:rsidRDefault="003002E6"/>
    <w:p w14:paraId="646D303C" w14:textId="2D6729B5" w:rsidR="003002E6" w:rsidRDefault="0042645E">
      <w:pPr>
        <w:pStyle w:val="Heading1"/>
      </w:pPr>
      <w:r>
        <w:rPr>
          <w:rFonts w:ascii="IBM Plex Sans" w:eastAsia="IBM Plex Sans" w:hAnsi="IBM Plex Sans"/>
          <w:color w:val="003366"/>
          <w:sz w:val="32"/>
        </w:rPr>
        <w:t>4</w:t>
      </w:r>
      <w:r w:rsidR="00000000">
        <w:rPr>
          <w:rFonts w:ascii="IBM Plex Sans" w:eastAsia="IBM Plex Sans" w:hAnsi="IBM Plex Sans"/>
          <w:color w:val="003366"/>
          <w:sz w:val="32"/>
        </w:rPr>
        <w:t>. Critical Assessment: Which Model When?</w:t>
      </w:r>
    </w:p>
    <w:p w14:paraId="4BE06CCD" w14:textId="4CFD493C" w:rsidR="003002E6" w:rsidRDefault="0042645E">
      <w:pPr>
        <w:pStyle w:val="Heading2"/>
      </w:pPr>
      <w:r>
        <w:rPr>
          <w:rFonts w:ascii="IBM Plex Sans" w:eastAsia="IBM Plex Sans" w:hAnsi="IBM Plex Sans"/>
          <w:color w:val="003366"/>
          <w:sz w:val="28"/>
        </w:rPr>
        <w:t>4</w:t>
      </w:r>
      <w:r w:rsidR="00000000">
        <w:rPr>
          <w:rFonts w:ascii="IBM Plex Sans" w:eastAsia="IBM Plex Sans" w:hAnsi="IBM Plex Sans"/>
          <w:color w:val="003366"/>
          <w:sz w:val="28"/>
        </w:rPr>
        <w:t>.1 AVEP is Better When:</w:t>
      </w:r>
    </w:p>
    <w:p w14:paraId="7BBAC9BD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Working with large, complex organizations</w:t>
      </w:r>
    </w:p>
    <w:p w14:paraId="47DA4CA0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High-value B2B contracts are accessible</w:t>
      </w:r>
    </w:p>
    <w:p w14:paraId="1CBA5E6F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Execution (not ideation) is the bottleneck</w:t>
      </w:r>
    </w:p>
    <w:p w14:paraId="34C586AA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You have senior enterprise relationships</w:t>
      </w:r>
    </w:p>
    <w:p w14:paraId="18CC0665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Capital is available for longer sales cycles</w:t>
      </w:r>
    </w:p>
    <w:p w14:paraId="661E13FA" w14:textId="1C1A445A" w:rsidR="003002E6" w:rsidRDefault="0042645E">
      <w:pPr>
        <w:pStyle w:val="Heading2"/>
      </w:pPr>
      <w:r>
        <w:rPr>
          <w:rFonts w:ascii="IBM Plex Sans" w:eastAsia="IBM Plex Sans" w:hAnsi="IBM Plex Sans"/>
          <w:color w:val="003366"/>
          <w:sz w:val="28"/>
        </w:rPr>
        <w:lastRenderedPageBreak/>
        <w:t>4</w:t>
      </w:r>
      <w:r w:rsidR="00000000">
        <w:rPr>
          <w:rFonts w:ascii="IBM Plex Sans" w:eastAsia="IBM Plex Sans" w:hAnsi="IBM Plex Sans"/>
          <w:color w:val="003366"/>
          <w:sz w:val="28"/>
        </w:rPr>
        <w:t>.2 OSR is Better When:</w:t>
      </w:r>
    </w:p>
    <w:p w14:paraId="2AF13C02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Creating new markets (blue ocean)</w:t>
      </w:r>
    </w:p>
    <w:p w14:paraId="0397D892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Working with early-stage entrepreneurs</w:t>
      </w:r>
    </w:p>
    <w:p w14:paraId="735C0339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Idea validation is the bottleneck</w:t>
      </w:r>
    </w:p>
    <w:p w14:paraId="2BF485AA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Speed and cheap experimentation matter</w:t>
      </w:r>
    </w:p>
    <w:p w14:paraId="5EB88A12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Building a portfolio of small bets</w:t>
      </w:r>
    </w:p>
    <w:p w14:paraId="6895C108" w14:textId="77777777" w:rsidR="003002E6" w:rsidRDefault="003002E6"/>
    <w:p w14:paraId="541B50B5" w14:textId="0767BF36" w:rsidR="003002E6" w:rsidRDefault="0042645E">
      <w:pPr>
        <w:pStyle w:val="Heading1"/>
      </w:pPr>
      <w:r>
        <w:rPr>
          <w:rFonts w:ascii="IBM Plex Sans" w:eastAsia="IBM Plex Sans" w:hAnsi="IBM Plex Sans"/>
          <w:color w:val="003366"/>
          <w:sz w:val="32"/>
        </w:rPr>
        <w:t>5</w:t>
      </w:r>
      <w:r w:rsidR="00000000">
        <w:rPr>
          <w:rFonts w:ascii="IBM Plex Sans" w:eastAsia="IBM Plex Sans" w:hAnsi="IBM Plex Sans"/>
          <w:color w:val="003366"/>
          <w:sz w:val="32"/>
        </w:rPr>
        <w:t>. Potential Synthesis: Hybrid Model</w:t>
      </w:r>
    </w:p>
    <w:p w14:paraId="36F412CF" w14:textId="77777777" w:rsidR="003002E6" w:rsidRDefault="00000000">
      <w:r>
        <w:rPr>
          <w:rFonts w:ascii="IBM Plex Sans" w:eastAsia="IBM Plex Sans" w:hAnsi="IBM Plex Sans"/>
        </w:rPr>
        <w:t>The two models could be complementary rather than competing. OSR validates opportunities; AVEP executes validated ventures at scale.</w:t>
      </w:r>
    </w:p>
    <w:p w14:paraId="4C826DFC" w14:textId="77777777" w:rsidR="003002E6" w:rsidRDefault="00000000">
      <w:r>
        <w:rPr>
          <w:rFonts w:ascii="IBM Plex Sans" w:eastAsia="IBM Plex Sans" w:hAnsi="IBM Plex Sans"/>
          <w:b/>
        </w:rPr>
        <w:t>Hybrid Studio Flow:</w:t>
      </w:r>
    </w:p>
    <w:p w14:paraId="42C22DC5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Stage 1: OSR Engine discovers and validates opportunities (cheap experiments)</w:t>
      </w:r>
    </w:p>
    <w:p w14:paraId="2E62B483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Stage 2: Validated ideas graduate to AVEP Engine for execution at scale</w:t>
      </w:r>
    </w:p>
    <w:p w14:paraId="1BB3C62E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Stage 3: Portfolio compounds with both early-stage (OSR) and growth-stage (AVEP) ventures</w:t>
      </w:r>
    </w:p>
    <w:p w14:paraId="1063CB17" w14:textId="469ABD44" w:rsidR="003002E6" w:rsidRDefault="00000000">
      <w:r>
        <w:rPr>
          <w:rFonts w:ascii="IBM Plex Sans" w:eastAsia="IBM Plex Sans" w:hAnsi="IBM Plex Sans"/>
          <w:b/>
        </w:rPr>
        <w:t>OSR validates → AVEP executes → Portfolio compounds</w:t>
      </w:r>
      <w:r w:rsidR="0042645E">
        <w:t xml:space="preserve"> </w:t>
      </w:r>
    </w:p>
    <w:p w14:paraId="5F72F46A" w14:textId="1017753F" w:rsidR="003002E6" w:rsidRDefault="0042645E">
      <w:pPr>
        <w:pStyle w:val="Heading1"/>
      </w:pPr>
      <w:r>
        <w:rPr>
          <w:rFonts w:ascii="IBM Plex Sans" w:eastAsia="IBM Plex Sans" w:hAnsi="IBM Plex Sans"/>
          <w:color w:val="003366"/>
          <w:sz w:val="32"/>
        </w:rPr>
        <w:t>6</w:t>
      </w:r>
      <w:r w:rsidR="00000000">
        <w:rPr>
          <w:rFonts w:ascii="IBM Plex Sans" w:eastAsia="IBM Plex Sans" w:hAnsi="IBM Plex Sans"/>
          <w:color w:val="003366"/>
          <w:sz w:val="32"/>
        </w:rPr>
        <w:t>. Fundamental Difference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002E6" w14:paraId="2701D058" w14:textId="77777777">
        <w:tc>
          <w:tcPr>
            <w:tcW w:w="2880" w:type="dxa"/>
            <w:shd w:val="clear" w:color="auto" w:fill="003366"/>
          </w:tcPr>
          <w:p w14:paraId="58177626" w14:textId="77777777" w:rsidR="003002E6" w:rsidRDefault="00000000">
            <w:pPr>
              <w:jc w:val="center"/>
            </w:pPr>
            <w:r>
              <w:rPr>
                <w:rFonts w:ascii="IBM Plex Sans" w:eastAsia="IBM Plex Sans" w:hAnsi="IBM Plex Sans"/>
                <w:b/>
                <w:color w:val="FFFFFF"/>
                <w:sz w:val="20"/>
              </w:rPr>
              <w:t>Dimension</w:t>
            </w:r>
          </w:p>
        </w:tc>
        <w:tc>
          <w:tcPr>
            <w:tcW w:w="2880" w:type="dxa"/>
            <w:shd w:val="clear" w:color="auto" w:fill="003366"/>
          </w:tcPr>
          <w:p w14:paraId="171C825F" w14:textId="77777777" w:rsidR="003002E6" w:rsidRDefault="00000000">
            <w:pPr>
              <w:jc w:val="center"/>
            </w:pPr>
            <w:r>
              <w:rPr>
                <w:rFonts w:ascii="IBM Plex Sans" w:eastAsia="IBM Plex Sans" w:hAnsi="IBM Plex Sans"/>
                <w:b/>
                <w:color w:val="FFFFFF"/>
                <w:sz w:val="20"/>
              </w:rPr>
              <w:t>AVEP</w:t>
            </w:r>
          </w:p>
        </w:tc>
        <w:tc>
          <w:tcPr>
            <w:tcW w:w="2880" w:type="dxa"/>
            <w:shd w:val="clear" w:color="auto" w:fill="003366"/>
          </w:tcPr>
          <w:p w14:paraId="3BC245F0" w14:textId="77777777" w:rsidR="003002E6" w:rsidRDefault="00000000">
            <w:pPr>
              <w:jc w:val="center"/>
            </w:pPr>
            <w:r>
              <w:rPr>
                <w:rFonts w:ascii="IBM Plex Sans" w:eastAsia="IBM Plex Sans" w:hAnsi="IBM Plex Sans"/>
                <w:b/>
                <w:color w:val="FFFFFF"/>
                <w:sz w:val="20"/>
              </w:rPr>
              <w:t>OSR</w:t>
            </w:r>
          </w:p>
        </w:tc>
      </w:tr>
      <w:tr w:rsidR="003002E6" w14:paraId="0AE81C55" w14:textId="77777777">
        <w:tc>
          <w:tcPr>
            <w:tcW w:w="2880" w:type="dxa"/>
          </w:tcPr>
          <w:p w14:paraId="0BA296BD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Core Question</w:t>
            </w:r>
          </w:p>
        </w:tc>
        <w:tc>
          <w:tcPr>
            <w:tcW w:w="2880" w:type="dxa"/>
          </w:tcPr>
          <w:p w14:paraId="777D912C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'Can we execute this better?'</w:t>
            </w:r>
          </w:p>
        </w:tc>
        <w:tc>
          <w:tcPr>
            <w:tcW w:w="2880" w:type="dxa"/>
          </w:tcPr>
          <w:p w14:paraId="27372DE3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'Should this exist at all?'</w:t>
            </w:r>
          </w:p>
        </w:tc>
      </w:tr>
      <w:tr w:rsidR="003002E6" w14:paraId="04BAFA8B" w14:textId="77777777">
        <w:tc>
          <w:tcPr>
            <w:tcW w:w="2880" w:type="dxa"/>
          </w:tcPr>
          <w:p w14:paraId="0593AB92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Primary Activity</w:t>
            </w:r>
          </w:p>
        </w:tc>
        <w:tc>
          <w:tcPr>
            <w:tcW w:w="2880" w:type="dxa"/>
          </w:tcPr>
          <w:p w14:paraId="0D29A67B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Delivery excellence</w:t>
            </w:r>
          </w:p>
        </w:tc>
        <w:tc>
          <w:tcPr>
            <w:tcW w:w="2880" w:type="dxa"/>
          </w:tcPr>
          <w:p w14:paraId="11E47721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Discovery &amp; validation</w:t>
            </w:r>
          </w:p>
        </w:tc>
      </w:tr>
      <w:tr w:rsidR="003002E6" w14:paraId="223A3543" w14:textId="77777777">
        <w:tc>
          <w:tcPr>
            <w:tcW w:w="2880" w:type="dxa"/>
          </w:tcPr>
          <w:p w14:paraId="142A59E6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Value Creation</w:t>
            </w:r>
          </w:p>
        </w:tc>
        <w:tc>
          <w:tcPr>
            <w:tcW w:w="2880" w:type="dxa"/>
          </w:tcPr>
          <w:p w14:paraId="37C79742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Fix broken execution</w:t>
            </w:r>
          </w:p>
        </w:tc>
        <w:tc>
          <w:tcPr>
            <w:tcW w:w="2880" w:type="dxa"/>
          </w:tcPr>
          <w:p w14:paraId="7F029C7C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Create new markets</w:t>
            </w:r>
          </w:p>
        </w:tc>
      </w:tr>
      <w:tr w:rsidR="003002E6" w14:paraId="28EA091D" w14:textId="77777777">
        <w:tc>
          <w:tcPr>
            <w:tcW w:w="2880" w:type="dxa"/>
          </w:tcPr>
          <w:p w14:paraId="2E1A1AB1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Customer Relationship</w:t>
            </w:r>
          </w:p>
        </w:tc>
        <w:tc>
          <w:tcPr>
            <w:tcW w:w="2880" w:type="dxa"/>
          </w:tcPr>
          <w:p w14:paraId="3A7EB97D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Service provider (B2B)</w:t>
            </w:r>
          </w:p>
        </w:tc>
        <w:tc>
          <w:tcPr>
            <w:tcW w:w="2880" w:type="dxa"/>
          </w:tcPr>
          <w:p w14:paraId="2A9ECB4D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Co-investor (equity)</w:t>
            </w:r>
          </w:p>
        </w:tc>
      </w:tr>
      <w:tr w:rsidR="003002E6" w14:paraId="1BFBDAF3" w14:textId="77777777">
        <w:tc>
          <w:tcPr>
            <w:tcW w:w="2880" w:type="dxa"/>
          </w:tcPr>
          <w:p w14:paraId="356C6398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Revenue Timing</w:t>
            </w:r>
          </w:p>
        </w:tc>
        <w:tc>
          <w:tcPr>
            <w:tcW w:w="2880" w:type="dxa"/>
          </w:tcPr>
          <w:p w14:paraId="1A3591B1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Immediate (contracts)</w:t>
            </w:r>
          </w:p>
        </w:tc>
        <w:tc>
          <w:tcPr>
            <w:tcW w:w="2880" w:type="dxa"/>
          </w:tcPr>
          <w:p w14:paraId="1422F41E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Delayed (exits)</w:t>
            </w:r>
          </w:p>
        </w:tc>
      </w:tr>
      <w:tr w:rsidR="003002E6" w14:paraId="5C824495" w14:textId="77777777">
        <w:tc>
          <w:tcPr>
            <w:tcW w:w="2880" w:type="dxa"/>
          </w:tcPr>
          <w:p w14:paraId="280B4AA9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Team Profile</w:t>
            </w:r>
          </w:p>
        </w:tc>
        <w:tc>
          <w:tcPr>
            <w:tcW w:w="2880" w:type="dxa"/>
          </w:tcPr>
          <w:p w14:paraId="543BF994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Senior execution experts</w:t>
            </w:r>
          </w:p>
        </w:tc>
        <w:tc>
          <w:tcPr>
            <w:tcW w:w="2880" w:type="dxa"/>
          </w:tcPr>
          <w:p w14:paraId="1BE287D9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Researchers, experimenters</w:t>
            </w:r>
          </w:p>
        </w:tc>
      </w:tr>
      <w:tr w:rsidR="003002E6" w14:paraId="79D05877" w14:textId="77777777">
        <w:tc>
          <w:tcPr>
            <w:tcW w:w="2880" w:type="dxa"/>
          </w:tcPr>
          <w:p w14:paraId="0C8DDD2D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Capital Requirement</w:t>
            </w:r>
          </w:p>
        </w:tc>
        <w:tc>
          <w:tcPr>
            <w:tcW w:w="2880" w:type="dxa"/>
          </w:tcPr>
          <w:p w14:paraId="396AC10B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Higher (enterprise sales cycles)</w:t>
            </w:r>
          </w:p>
        </w:tc>
        <w:tc>
          <w:tcPr>
            <w:tcW w:w="2880" w:type="dxa"/>
          </w:tcPr>
          <w:p w14:paraId="4F7C9797" w14:textId="0066631A" w:rsidR="003002E6" w:rsidRDefault="0042645E">
            <w:r>
              <w:rPr>
                <w:rFonts w:ascii="IBM Plex Sans" w:eastAsia="IBM Plex Sans" w:hAnsi="IBM Plex Sans"/>
                <w:sz w:val="20"/>
              </w:rPr>
              <w:t>Moderate</w:t>
            </w:r>
            <w:r w:rsidR="00000000">
              <w:rPr>
                <w:rFonts w:ascii="IBM Plex Sans" w:eastAsia="IBM Plex Sans" w:hAnsi="IBM Plex Sans"/>
                <w:sz w:val="20"/>
              </w:rPr>
              <w:t xml:space="preserve"> (cheap experiments</w:t>
            </w:r>
            <w:r>
              <w:rPr>
                <w:rFonts w:ascii="IBM Plex Sans" w:eastAsia="IBM Plex Sans" w:hAnsi="IBM Plex Sans"/>
                <w:sz w:val="20"/>
              </w:rPr>
              <w:t xml:space="preserve"> + seed investments</w:t>
            </w:r>
            <w:r w:rsidR="00000000">
              <w:rPr>
                <w:rFonts w:ascii="IBM Plex Sans" w:eastAsia="IBM Plex Sans" w:hAnsi="IBM Plex Sans"/>
                <w:sz w:val="20"/>
              </w:rPr>
              <w:t>)</w:t>
            </w:r>
          </w:p>
        </w:tc>
      </w:tr>
      <w:tr w:rsidR="003002E6" w14:paraId="08AA6D91" w14:textId="77777777">
        <w:tc>
          <w:tcPr>
            <w:tcW w:w="2880" w:type="dxa"/>
          </w:tcPr>
          <w:p w14:paraId="48DEBA8D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Time to Revenue</w:t>
            </w:r>
          </w:p>
        </w:tc>
        <w:tc>
          <w:tcPr>
            <w:tcW w:w="2880" w:type="dxa"/>
          </w:tcPr>
          <w:p w14:paraId="23A78DAA" w14:textId="11BC707E" w:rsidR="003002E6" w:rsidRDefault="00000000">
            <w:r>
              <w:rPr>
                <w:rFonts w:ascii="IBM Plex Sans" w:eastAsia="IBM Plex Sans" w:hAnsi="IBM Plex Sans"/>
                <w:sz w:val="20"/>
              </w:rPr>
              <w:t>Faster (</w:t>
            </w:r>
            <w:r w:rsidR="0042645E">
              <w:rPr>
                <w:rFonts w:ascii="IBM Plex Sans" w:eastAsia="IBM Plex Sans" w:hAnsi="IBM Plex Sans"/>
                <w:sz w:val="20"/>
              </w:rPr>
              <w:t>execution</w:t>
            </w:r>
            <w:r>
              <w:rPr>
                <w:rFonts w:ascii="IBM Plex Sans" w:eastAsia="IBM Plex Sans" w:hAnsi="IBM Plex Sans"/>
                <w:sz w:val="20"/>
              </w:rPr>
              <w:t xml:space="preserve"> fees)</w:t>
            </w:r>
          </w:p>
        </w:tc>
        <w:tc>
          <w:tcPr>
            <w:tcW w:w="2880" w:type="dxa"/>
          </w:tcPr>
          <w:p w14:paraId="6DF26F72" w14:textId="77777777" w:rsidR="003002E6" w:rsidRDefault="00000000">
            <w:r>
              <w:rPr>
                <w:rFonts w:ascii="IBM Plex Sans" w:eastAsia="IBM Plex Sans" w:hAnsi="IBM Plex Sans"/>
                <w:sz w:val="20"/>
              </w:rPr>
              <w:t>Slower (portfolio returns)</w:t>
            </w:r>
          </w:p>
        </w:tc>
      </w:tr>
    </w:tbl>
    <w:p w14:paraId="0D39FE9D" w14:textId="77777777" w:rsidR="003002E6" w:rsidRDefault="003002E6"/>
    <w:p w14:paraId="5E511529" w14:textId="50A2451C" w:rsidR="003002E6" w:rsidRDefault="0042645E" w:rsidP="0042645E">
      <w:pPr>
        <w:pStyle w:val="Heading1"/>
      </w:pPr>
      <w:r>
        <w:rPr>
          <w:rFonts w:ascii="IBM Plex Sans" w:eastAsia="IBM Plex Sans" w:hAnsi="IBM Plex Sans"/>
          <w:color w:val="003366"/>
          <w:sz w:val="32"/>
        </w:rPr>
        <w:t>7</w:t>
      </w:r>
      <w:r w:rsidR="00000000">
        <w:rPr>
          <w:rFonts w:ascii="IBM Plex Sans" w:eastAsia="IBM Plex Sans" w:hAnsi="IBM Plex Sans"/>
          <w:color w:val="003366"/>
          <w:sz w:val="32"/>
        </w:rPr>
        <w:t>. Recommendations</w:t>
      </w:r>
      <w:r>
        <w:rPr>
          <w:rFonts w:ascii="IBM Plex Sans" w:eastAsia="IBM Plex Sans" w:hAnsi="IBM Plex Sans"/>
          <w:color w:val="003366"/>
          <w:sz w:val="32"/>
        </w:rPr>
        <w:t xml:space="preserve"> -</w:t>
      </w:r>
      <w:r w:rsidR="00000000">
        <w:rPr>
          <w:rFonts w:ascii="IBM Plex Sans" w:eastAsia="IBM Plex Sans" w:hAnsi="IBM Plex Sans"/>
          <w:color w:val="003366"/>
        </w:rPr>
        <w:t xml:space="preserve"> For Both</w:t>
      </w:r>
    </w:p>
    <w:p w14:paraId="67A5BB28" w14:textId="77777777" w:rsidR="003002E6" w:rsidRDefault="00000000">
      <w:pPr>
        <w:pStyle w:val="ListBullet"/>
      </w:pPr>
      <w:r>
        <w:rPr>
          <w:rFonts w:ascii="IBM Plex Sans" w:eastAsia="IBM Plex Sans" w:hAnsi="IBM Plex Sans"/>
        </w:rPr>
        <w:t>Recognize complementary positioning - validation vs execution</w:t>
      </w:r>
    </w:p>
    <w:p w14:paraId="5C09D1A2" w14:textId="269617B1" w:rsidR="003002E6" w:rsidRDefault="00000000">
      <w:pPr>
        <w:pStyle w:val="ListBullet"/>
      </w:pPr>
      <w:r>
        <w:rPr>
          <w:rFonts w:ascii="IBM Plex Sans" w:eastAsia="IBM Plex Sans" w:hAnsi="IBM Plex Sans"/>
        </w:rPr>
        <w:t>Consider partnership: OSR feeds validated deals to AVEP</w:t>
      </w:r>
    </w:p>
    <w:p w14:paraId="7042E47B" w14:textId="63C69508" w:rsidR="003002E6" w:rsidRDefault="00000000" w:rsidP="0042645E">
      <w:pPr>
        <w:pStyle w:val="ListBullet"/>
      </w:pPr>
      <w:r>
        <w:rPr>
          <w:rFonts w:ascii="IBM Plex Sans" w:eastAsia="IBM Plex Sans" w:hAnsi="IBM Plex Sans"/>
        </w:rPr>
        <w:t>Share AI infrastructure for compounding learning across both models</w:t>
      </w:r>
    </w:p>
    <w:p w14:paraId="5144443C" w14:textId="23456692" w:rsidR="003002E6" w:rsidRDefault="0042645E">
      <w:pPr>
        <w:pStyle w:val="Heading1"/>
      </w:pPr>
      <w:r>
        <w:rPr>
          <w:rFonts w:ascii="IBM Plex Sans" w:eastAsia="IBM Plex Sans" w:hAnsi="IBM Plex Sans"/>
          <w:color w:val="003366"/>
          <w:sz w:val="32"/>
        </w:rPr>
        <w:lastRenderedPageBreak/>
        <w:t>8</w:t>
      </w:r>
      <w:r w:rsidR="00000000">
        <w:rPr>
          <w:rFonts w:ascii="IBM Plex Sans" w:eastAsia="IBM Plex Sans" w:hAnsi="IBM Plex Sans"/>
          <w:color w:val="003366"/>
          <w:sz w:val="32"/>
        </w:rPr>
        <w:t>. Conclusion</w:t>
      </w:r>
    </w:p>
    <w:p w14:paraId="42FA8DE2" w14:textId="72072D7E" w:rsidR="003002E6" w:rsidRDefault="00000000">
      <w:r>
        <w:rPr>
          <w:rFonts w:ascii="IBM Plex Sans" w:eastAsia="IBM Plex Sans" w:hAnsi="IBM Plex Sans"/>
        </w:rPr>
        <w:t>AVEP is a consulting-to-venture play for enterprise clients. OSR is a validation-to-venture play for new market creatio</w:t>
      </w:r>
      <w:r w:rsidR="0042645E">
        <w:rPr>
          <w:rFonts w:ascii="IBM Plex Sans" w:eastAsia="IBM Plex Sans" w:hAnsi="IBM Plex Sans"/>
        </w:rPr>
        <w:t>n</w:t>
      </w:r>
      <w:r>
        <w:rPr>
          <w:rFonts w:ascii="IBM Plex Sans" w:eastAsia="IBM Plex Sans" w:hAnsi="IBM Plex Sans"/>
        </w:rPr>
        <w:t>. Both are valid models serving different stages of the value creation lifecycle.</w:t>
      </w:r>
    </w:p>
    <w:p w14:paraId="2121FA02" w14:textId="77777777" w:rsidR="003002E6" w:rsidRDefault="00000000">
      <w:r>
        <w:rPr>
          <w:rFonts w:ascii="IBM Plex Sans" w:eastAsia="IBM Plex Sans" w:hAnsi="IBM Plex Sans"/>
        </w:rPr>
        <w:t>The choice depends on: (1) available relationships (enterprise vs entrepreneur), (2) capital availability (higher for AVEP), and (3) core competency (execution vs research).</w:t>
      </w:r>
    </w:p>
    <w:p w14:paraId="2F80EF93" w14:textId="77777777" w:rsidR="003002E6" w:rsidRDefault="00000000">
      <w:r>
        <w:rPr>
          <w:rFonts w:ascii="IBM Plex Sans" w:eastAsia="IBM Plex Sans" w:hAnsi="IBM Plex Sans"/>
          <w:b/>
        </w:rPr>
        <w:t>The most powerful outcome would be synthesis: OSR as the 'discovery engine' feeding validated opportunities into AVEP as the 'execution engine' - creating a full-stack venture studio with systematic advantage at every stage.</w:t>
      </w:r>
    </w:p>
    <w:p w14:paraId="0073B3DF" w14:textId="77777777" w:rsidR="003002E6" w:rsidRDefault="003002E6"/>
    <w:p w14:paraId="71C820D7" w14:textId="77777777" w:rsidR="003002E6" w:rsidRDefault="00000000">
      <w:pPr>
        <w:jc w:val="center"/>
      </w:pPr>
      <w:r>
        <w:rPr>
          <w:rFonts w:ascii="IBM Plex Sans" w:eastAsia="IBM Plex Sans" w:hAnsi="IBM Plex Sans"/>
          <w:color w:val="646464"/>
          <w:sz w:val="20"/>
        </w:rPr>
        <w:t>Analysis Prepared: January 2026 | OS Research Engine</w:t>
      </w:r>
    </w:p>
    <w:sectPr w:rsidR="003002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1598090">
    <w:abstractNumId w:val="8"/>
  </w:num>
  <w:num w:numId="2" w16cid:durableId="673725630">
    <w:abstractNumId w:val="6"/>
  </w:num>
  <w:num w:numId="3" w16cid:durableId="846794632">
    <w:abstractNumId w:val="5"/>
  </w:num>
  <w:num w:numId="4" w16cid:durableId="143352381">
    <w:abstractNumId w:val="4"/>
  </w:num>
  <w:num w:numId="5" w16cid:durableId="1814715242">
    <w:abstractNumId w:val="7"/>
  </w:num>
  <w:num w:numId="6" w16cid:durableId="603148697">
    <w:abstractNumId w:val="3"/>
  </w:num>
  <w:num w:numId="7" w16cid:durableId="298070253">
    <w:abstractNumId w:val="2"/>
  </w:num>
  <w:num w:numId="8" w16cid:durableId="507985666">
    <w:abstractNumId w:val="1"/>
  </w:num>
  <w:num w:numId="9" w16cid:durableId="876742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02E6"/>
    <w:rsid w:val="00326F90"/>
    <w:rsid w:val="0042645E"/>
    <w:rsid w:val="00632E4C"/>
    <w:rsid w:val="007E6DB7"/>
    <w:rsid w:val="00AA1D8D"/>
    <w:rsid w:val="00B47730"/>
    <w:rsid w:val="00CB0664"/>
    <w:rsid w:val="00DC25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D57BF08"/>
  <w14:defaultImageDpi w14:val="300"/>
  <w15:docId w15:val="{3DBCD1E5-4E16-154B-A139-BD36006D3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685</Words>
  <Characters>4357</Characters>
  <Application>Microsoft Office Word</Application>
  <DocSecurity>0</DocSecurity>
  <Lines>174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Vỹ Nguyễn</cp:lastModifiedBy>
  <cp:revision>3</cp:revision>
  <dcterms:created xsi:type="dcterms:W3CDTF">2013-12-23T23:15:00Z</dcterms:created>
  <dcterms:modified xsi:type="dcterms:W3CDTF">2026-01-25T07:18:00Z</dcterms:modified>
  <cp:category/>
</cp:coreProperties>
</file>