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rrata-4º-semestre"/>
    <w:p>
      <w:pPr>
        <w:pStyle w:val="Heading1"/>
      </w:pPr>
      <w:r>
        <w:t xml:space="preserve">Errata · 4º semestre</w:t>
      </w:r>
    </w:p>
    <w:p>
      <w:pPr>
        <w:pStyle w:val="FirstParagraph"/>
      </w:pPr>
      <w:r>
        <w:t xml:space="preserve">Como usar: abra o Word do resumo, Ctrl+F no texto da coluna</w:t>
      </w:r>
      <w:r>
        <w:t xml:space="preserve"> </w:t>
      </w:r>
      <w:r>
        <w:t xml:space="preserve">“</w:t>
      </w:r>
      <w:r>
        <w:t xml:space="preserve">Localizar</w:t>
      </w:r>
      <w:r>
        <w:t xml:space="preserve">”</w:t>
      </w:r>
      <w:r>
        <w:t xml:space="preserve"> </w:t>
      </w:r>
      <w:r>
        <w:t xml:space="preserve">e troque pelo da coluna</w:t>
      </w:r>
      <w:r>
        <w:t xml:space="preserve"> </w:t>
      </w:r>
      <w:r>
        <w:t xml:space="preserve">“</w:t>
      </w:r>
      <w:r>
        <w:t xml:space="preserve">Substituir por</w:t>
      </w:r>
      <w:r>
        <w:t xml:space="preserve">”</w:t>
      </w:r>
      <w:r>
        <w:t xml:space="preserve">. A página é a do PDF publicado (nos cadernos D1 é a numeração do caderno, ex.: 82 de 107). Quando o</w:t>
      </w:r>
      <w:r>
        <w:t xml:space="preserve"> </w:t>
      </w:r>
      <w:r>
        <w:t xml:space="preserve">“</w:t>
      </w:r>
      <w:r>
        <w:t xml:space="preserve">Localizar</w:t>
      </w:r>
      <w:r>
        <w:t xml:space="preserve">”</w:t>
      </w:r>
      <w:r>
        <w:t xml:space="preserve"> </w:t>
      </w:r>
      <w:r>
        <w:t xml:space="preserve">aparece em mais de um lugar do documento, a linha avisa qual é.</w:t>
      </w:r>
    </w:p>
    <w:p>
      <w:pPr>
        <w:pStyle w:val="BodyText"/>
      </w:pPr>
      <w:r>
        <w:t xml:space="preserve">Itens marcados com (extra) não estavam na lista original: são erros do mesmo tipo que apareceram na conferência.</w:t>
      </w:r>
    </w:p>
    <w:bookmarkStart w:id="20" w:name="º-sem-d1-ncs-sp-1.3-leucemias.pdf"/>
    <w:p>
      <w:pPr>
        <w:pStyle w:val="Heading2"/>
      </w:pPr>
      <w:r>
        <w:t xml:space="preserve">4º sem D1 · NCS · SP 1.3 · Leucemias.pdf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ultrapassar 200 × 10³/mL.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ultrapassar 200 × 10³/µL.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de células é por microlitro (200 × 10³/µL = 200 × 10⁹/L). Por mL daria um valor mil vezes menor.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incidência máxima entre 3 e 7 anos.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incidência máxima entre 2 e 5 anos.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 com a pág. 89. O pico da LLA é entre 2 e 5 anos (Nelson, INCA), coerente com</w:t>
            </w:r>
            <w:r>
              <w:t xml:space="preserve"> </w:t>
            </w:r>
            <w:r>
              <w:t xml:space="preserve">“</w:t>
            </w:r>
            <w:r>
              <w:t xml:space="preserve">75% antes dos 6 anos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Linfocitose persistente (&gt;5 × 10³/mL).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Linfocitose persistente (&gt;5 × 10³/µL de linfócitos 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da LLC (iwCLL): ≥ 5 × 10⁹/L = 5 × 10³/µL de linfócitos B clonais. A unidade é µL.</w:t>
            </w:r>
          </w:p>
        </w:tc>
      </w:tr>
    </w:tbl>
    <w:bookmarkEnd w:id="20"/>
    <w:bookmarkStart w:id="21" w:name="X98f72389d5d06f8429ec827198590b8eacac8a3"/>
    <w:p>
      <w:pPr>
        <w:pStyle w:val="Heading2"/>
      </w:pPr>
      <w:r>
        <w:t xml:space="preserve">4º sem D1 · NCS · SP 1.4 · Antineoplásicos e câncer colorretal.pdf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Células de Paneth: situadas nas criptas intestinais,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Células-tronco: situadas na base das criptas intestinais,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epitélio do cólon tem células absortivas, caliciformes, enteroendócrinas e células-tronco. Paneth são típicas do intestino delgado (no cólon só aparecem no ceco ou como metaplasia, ex.: em doença inflamatória intestinal).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secretam substâncias antimicrobianas, contribuindo para a defesa imunológica.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renovam continuamente o epitélio (as células de Paneth são do intestino delgado).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troca da linha acima.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T3: Invasão da camada serosa ou tecidos pericólicos/perirretais.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T3: Invasão através da muscular própria até os tecidos pericólicos/perirretais.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TNM (AJCC 8ª ed.), invadir/atravessar a serosa (peritônio visceral) é T4a, não T3.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T4: Invasão direta de órgãos adjacentes ou estruturas próximas.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T4: T4a, perfura o peritônio visceral (serosa); T4b, invade órgãos ou estruturas adjacentes.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correção do T3: a serosa entra no T4a.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limitado à mucosa ou muscular própria (T1–T2, N0, M0).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que invade a submucosa ou a muscular própria (T1–T2, N0, M0).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já invade a submucosa; tumor limitado à mucosa é Tis (estágio 0).</w:t>
            </w:r>
          </w:p>
        </w:tc>
      </w:tr>
    </w:tbl>
    <w:bookmarkEnd w:id="21"/>
    <w:bookmarkStart w:id="22" w:name="Xfce1355108cb67f9249092048dacdd9f22f8e8e"/>
    <w:p>
      <w:pPr>
        <w:pStyle w:val="Heading2"/>
      </w:pPr>
      <w:r>
        <w:t xml:space="preserve">4º sem D3 · NCS · SP 3.1 · Toxicologia: conceitos básicos, drogas ilícitas e álcool.pdf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Exemplo: Cianeto (inibe a enzima citocromo c oxidase, sem competição direta com o substrato).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Exemplo: Cetamina (bloqueia o receptor NMDA sem competir com o glutamato).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Cianeto não é antagonista de receptor: inibe uma enzima (a citocromo c oxidase da cadeia respiratória), como já está certo na pág. 12. Exemplo clássico de antagonista não competitivo de receptor: cetamina no NMDA.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Exemplo: Ácido acetilsalicílico (aspirina), que inibe irreversivelmente a enzima COX.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Exemplo: Fenoxibenzamina, que se liga de forma covalente aos receptores α-adrenérgicos.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Mesmo problema: a aspirina inibe uma enzima, não bloqueia receptor. Fenoxibenzamina é o antagonista irreversível de receptor clássico.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aspirina na inibição da COX-1).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fenoxibenzamina nos receptores α-adrenérgicos).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Mesma troca na lista de mecanismos da pág. 11 (</w:t>
            </w:r>
            <w:r>
              <w:t xml:space="preserve">“</w:t>
            </w:r>
            <w:r>
              <w:t xml:space="preserve">Irreversível: … (exemplo: aspirina na inibição da COX-1)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Antagonistas inversos de receptores GABA podem diminuir o efeito calmante natural.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Agonistas inversos do sítio benzodiazepínico do receptor GABA-A (ex.: β-carbolinas) causam ansiedade.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</w:t>
            </w:r>
            <w:r>
              <w:t xml:space="preserve"> </w:t>
            </w:r>
            <w:r>
              <w:t xml:space="preserve">“</w:t>
            </w:r>
            <w:r>
              <w:t xml:space="preserve">Antagonista inverso</w:t>
            </w:r>
            <w:r>
              <w:t xml:space="preserve">”</w:t>
            </w:r>
            <w:r>
              <w:t xml:space="preserve"> </w:t>
            </w:r>
            <w:r>
              <w:t xml:space="preserve">não existe; o termo é agonista inverso, e o alvo é o sítio benzodiazepínico do GABA-A.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Inibição da fosforilação oxidativa: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Hipóxia celular (falta de O₂ ou bloqueio da fosforilação oxidativa):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Nitrito não inibe a fosforilação oxidativa: oxida o ferro da hemoglobina e forma metemoglobina (o próprio texto explica isso). O título passa a abranger o exemplo; o bloqueio direto da cadeia respiratória é o do cianeto (citocromo c oxidase, item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uso de diuréticos ou medidas como lavagem gástrica (dependendo do momento da intoxicação)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Diuréticos não são indicados. A lavagem gástrica (só até 1 hora da ingestão, com via aérea protegida)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Diurese forçada não aumenta a eliminação de carbamatos (são metabolizados no fígado) e piora a hipovolemia causada por vômitos, diarreia e broncorreia. O tratamento é suporte, atropina e carvão ativado.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ser considerado para acelerar a eliminação do veneno do organismo.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ser considerada para reduzir a absorção do veneno.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frase acima (concordância com</w:t>
            </w:r>
            <w:r>
              <w:t xml:space="preserve"> </w:t>
            </w:r>
            <w:r>
              <w:t xml:space="preserve">“</w:t>
            </w:r>
            <w:r>
              <w:t xml:space="preserve">lavagem</w:t>
            </w:r>
            <w:r>
              <w:t xml:space="preserve">”</w:t>
            </w:r>
            <w:r>
              <w:t xml:space="preserve"> </w:t>
            </w:r>
            <w:r>
              <w:t xml:space="preserve">e efeito real da lavagem).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de Segurança (MS): Expressa como (DL10 - DE90) x 100 / DE50.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de Segurança (MS): Expressa como (DL1 - DE99) x 100 / DE99.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A margem de segurança compara a dose que mata 1% com a que é eficaz em 99%. A fórmula com DL10, DE90 e DE50 mistura parâmetros. Conferir com a fonte usada (Oga, Fundamentos de Toxicologia).</w:t>
            </w:r>
          </w:p>
        </w:tc>
      </w:tr>
    </w:tbl>
    <w:bookmarkEnd w:id="22"/>
    <w:bookmarkStart w:id="23" w:name="X3c722c2434e6cd85d541f398ea4109714ad0269"/>
    <w:p>
      <w:pPr>
        <w:pStyle w:val="Heading2"/>
      </w:pPr>
      <w:r>
        <w:t xml:space="preserve">4º sem D3 · NCS · SP 3.2 · Intoxicação por chumbo, tronco superior e alucinógenos.pdf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 no acúmulo de ALA (ácido δ-aminolevulínico).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 no acúmulo de protoporfirina (zinco-protoporfirina).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no item</w:t>
            </w:r>
            <w:r>
              <w:t xml:space="preserve"> </w:t>
            </w:r>
            <w:r>
              <w:t xml:space="preserve">“</w:t>
            </w:r>
            <w:r>
              <w:t xml:space="preserve">Ferro: Inibe a ferroquelatase</w:t>
            </w:r>
            <w:r>
              <w:t xml:space="preserve">”</w:t>
            </w:r>
            <w:r>
              <w:t xml:space="preserve">. Bloquear a ferroquelatase acumula protoporfirina (o zinco entra no lugar do ferro, formando ZPP). O ALA acumula pela inibição da ALA-desidratase, como já está certo no item 1 e no item Zinco.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(provável carcinógeno - Grupo 2B da IARC)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(provável carcinógeno - Grupo 2A da IARC, chumbo inorgânico)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IARC,</w:t>
            </w:r>
            <w:r>
              <w:t xml:space="preserve"> </w:t>
            </w:r>
            <w:r>
              <w:t xml:space="preserve">“</w:t>
            </w:r>
            <w:r>
              <w:t xml:space="preserve">provável</w:t>
            </w:r>
            <w:r>
              <w:t xml:space="preserve">”</w:t>
            </w:r>
            <w:r>
              <w:t xml:space="preserve"> </w:t>
            </w:r>
            <w:r>
              <w:t xml:space="preserve">é o Grupo 2A; 2B é</w:t>
            </w:r>
            <w:r>
              <w:t xml:space="preserve"> </w:t>
            </w:r>
            <w:r>
              <w:t xml:space="preserve">“</w:t>
            </w:r>
            <w:r>
              <w:t xml:space="preserve">possível</w:t>
            </w:r>
            <w:r>
              <w:t xml:space="preserve">”</w:t>
            </w:r>
            <w:r>
              <w:t xml:space="preserve">. O chumbo inorgânico é 2A (o chumbo metálico é 2B).</w:t>
            </w:r>
          </w:p>
        </w:tc>
      </w:tr>
    </w:tbl>
    <w:bookmarkEnd w:id="23"/>
    <w:bookmarkStart w:id="24" w:name="Xe608be6c513e358251a8db0b14a38e7e9a044fb"/>
    <w:p>
      <w:pPr>
        <w:pStyle w:val="Heading2"/>
      </w:pPr>
      <w:r>
        <w:t xml:space="preserve">4º sem D3 · NCS · SP 3.3 · Toxicidade por fármacos, paracetamol e metabolização hepática.pdf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= DL50 / DE50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= DT50 / DE50 (em animais de laboratório, usa-se DL50 / DE50)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frase logo acima define o IT pela dose tóxica média (DT50) e a fórmula usava DL50. Pelo Katzung, o IT clínico é DT50/DE50; a versão com DL50 é a dos ensaios em animais. Assim as duas formas ficam explicadas, sem contradição.</w:t>
            </w:r>
          </w:p>
        </w:tc>
      </w:tr>
    </w:tbl>
    <w:bookmarkEnd w:id="24"/>
    <w:bookmarkStart w:id="25" w:name="º-sem-d2-ncs-parto---partograma.pdf"/>
    <w:p>
      <w:pPr>
        <w:pStyle w:val="Heading2"/>
      </w:pPr>
      <w:r>
        <w:t xml:space="preserve">4º sem D2 · NCS · Parto - partograma.pdf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 cabeça voltada para cima (em um parto cefálico)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 cabeça voltada para baixo (em um parto cefálico)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Estava invertido: na apresentação cefálica a cabeça fica embaixo, junto ao estreito superior da pelve.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para baixo (em um parto pélvico).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para cima (em um parto pélvico).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apresentação pélvica a cabeça fica no fundo uterino.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(junção dos ossos parietais).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(junção dos ossos frontais e parietais).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O bregma é o encontro das suturas coronal e sagital (frontais com parietais), como o próprio quadro</w:t>
            </w:r>
            <w:r>
              <w:t xml:space="preserve"> </w:t>
            </w:r>
            <w:r>
              <w:t xml:space="preserve">“</w:t>
            </w:r>
            <w:r>
              <w:t xml:space="preserve">Lembrando que</w:t>
            </w:r>
            <w:r>
              <w:t xml:space="preserve">”</w:t>
            </w:r>
            <w:r>
              <w:t xml:space="preserve"> </w:t>
            </w:r>
            <w:r>
              <w:t xml:space="preserve">explica.</w:t>
            </w:r>
          </w:p>
        </w:tc>
      </w:tr>
    </w:tbl>
    <w:bookmarkEnd w:id="25"/>
    <w:bookmarkStart w:id="26" w:name="Xf96eb070b8d7031e19de733223733c993513a6f"/>
    <w:p>
      <w:pPr>
        <w:pStyle w:val="Heading2"/>
      </w:pPr>
      <w:r>
        <w:t xml:space="preserve">4º sem D2 · NCS · SP 2.2 · Anatomia do sistema genital feminino e eixo hormonal.pdf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principalmente pelas células da 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principalmente pelas células da granulosa, a partir dos androgênios da 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Teoria das duas células: a teca interna (sob LH) produz androgênios, e a granulosa (sob FSH) os converte em estradiol pela aromatase. Quem produz o estrógeno é a granulosa, como o próprio resumo diz na pág.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convertidos pela enzima aromatase em estradiol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convertidos pela aromatase da granulosa em estradiol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troca acima, deixando claro onde está a aromatase.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existem tem tipos de estrogênio: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existem quatro tipos de estrogênio: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 logo abaixo tem quatro (estrona, estradiol, estriol e estetrol), igual à pág. 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hCG atinge seu pico entre a 8ª e a 12ª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hCG atinge seu pico entre a 8ª e a 10ª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 com o parágrafo anterior e com o Williams.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Pré-Ovulatória (10 a 21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Pré-Ovulatória (dias 6 a 13 num ciclo de 28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ciclo de 28 dias ela vai do fim da menstruação até a ovulação (dia 14), não até o dia 21. É a fase de duração mais variável (Tortora).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 processo de</w:t>
            </w:r>
            <w:r>
              <w:t xml:space="preserve"> </w:t>
            </w:r>
            <w:r>
              <w:t xml:space="preserve">“</w:t>
            </w:r>
            <w:r>
              <w:t xml:space="preserve">resgate lúteo</w:t>
            </w:r>
            <w:r>
              <w:t xml:space="preserve">”</w:t>
            </w:r>
            <w:r>
              <w:t xml:space="preserve"> </w:t>
            </w:r>
            <w:r>
              <w:t xml:space="preserve">pela placenta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 transição lúteo-placentária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</w:t>
            </w:r>
            <w:r>
              <w:t xml:space="preserve"> </w:t>
            </w:r>
            <w:r>
              <w:t xml:space="preserve">“</w:t>
            </w:r>
            <w:r>
              <w:t xml:space="preserve">Resgate lúteo</w:t>
            </w:r>
            <w:r>
              <w:t xml:space="preserve">”</w:t>
            </w:r>
            <w:r>
              <w:t xml:space="preserve"> </w:t>
            </w:r>
            <w:r>
              <w:t xml:space="preserve">é o hCG manter o corpo lúteo vivo. A placenta assumir a produção de progesterona é a transição lúteo-placentária.</w:t>
            </w:r>
          </w:p>
        </w:tc>
      </w:tr>
    </w:tbl>
    <w:bookmarkEnd w:id="26"/>
    <w:bookmarkStart w:id="27" w:name="X426273514bef2f7f004c8637de2f6c140214a30"/>
    <w:p>
      <w:pPr>
        <w:pStyle w:val="Heading2"/>
      </w:pPr>
      <w:r>
        <w:t xml:space="preserve">4º sem D2 · NCS · SP 2.3 · Placenta e alterações fisiológicas na gravidez.pdf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aumento da pulsação das artérias uterinas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pulsação da artéria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Osiander: pulso da artéria vaginal percebido no toque, no fundo de saco vaginal lateral (Rezende, Zugaib).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 na inspeção do colo do útero durante a gestação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percebido ao toque nos fundos de saco vaginais durante a gestação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correção do Osiander (é sinal de toque, não de inspeção do colo).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pulsação visível ou palpável no colo do útero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pulsação palpável nos fundos de saco vaginais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sinal, final do parágrafo.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mudança de coloração do colo do útero para um tom azul ou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coloração violácea da mucosa da vulva, do vestíbulo e do meato uretral (também chamado sinal de Chadwick)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Jacquemier (ou Chadwick): cor violácea da vulva, do vestíbulo e do meato.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do fluxo sanguíneo nas veias do colo uterino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do fluxo sanguíneo e da congestão venosa da vulva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correção do Jacquemier.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Refere-se ao aumento da viscosidade do muco cervical durante a gravidez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Refere-se à coloração violácea da mucosa vaginal durante a gravidez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Kluge: cor violácea da mucosa da vagina. O muco cervical espesso é o tampão mucoso, que não é o sinal de Kluge.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favorece a produção de um muco mais espesso e denso, formando o tampão mucoso.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aumenta a vascularização e a congestão venosa da vagina.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correção do Kluge.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 tampão tem como função proteger o útero contra infecções durante a gravidez.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(apagar a frase)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 correção, o parágrafo deixa de falar do tampão (que já é explicado no item do colo, pág. 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tecido placentário invade parte do endométrio, podendo ou não invadir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as vilosidades se aderem diretamente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Acretismo: as vilosidades se aderem ao miométrio porque falta a decídua basal (camada de Nitabuch), sem invadi-lo. A definição antiga se confundia com increta.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miométrico, não atingindo a camada basal.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miométrio, sem invadi-lo, por falha da decídua basal.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frase acima (e corrige</w:t>
            </w:r>
            <w:r>
              <w:t xml:space="preserve"> </w:t>
            </w:r>
            <w:r>
              <w:t xml:space="preserve">“</w:t>
            </w:r>
            <w:r>
              <w:t xml:space="preserve">miométrico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Increta, quando invade totalmente o miométrio.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Increta, quando invade o miométrio, sem ultrapassar a serosa.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Atravessar toda a espessura do miométrio até a serosa já é percreta.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microcefalia, deficiência mental, microftalmia, hidrocefalia, coriorretinite,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abortamento, natimorto, prematuridade, hidropisia, hepatoesplenomegalia, lesões ósseas,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sífilis estavam as consequências da toxoplasmose (microcefalia, hidrocefalia, coriorretinite, calcificações). As da sífilis congênita estão no quadro da pág. 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calcificações cerebrais, perda auditiva e distúrbios neurológicos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rinite sifilítica, pênfigo palmoplantar, surdez, dentes de Hutchinson e neurossífilis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a lista da sífilis congênita (MS, PCDT IST).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causa vasodilatação das vias aéreas.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causa broncodilatação (relaxamento do músculo liso brônquico).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Vias aéreas não sofrem</w:t>
            </w:r>
            <w:r>
              <w:t xml:space="preserve"> </w:t>
            </w:r>
            <w:r>
              <w:t xml:space="preserve">“</w:t>
            </w:r>
            <w:r>
              <w:t xml:space="preserve">vasodilatação</w:t>
            </w:r>
            <w:r>
              <w:t xml:space="preserve">”</w:t>
            </w:r>
            <w:r>
              <w:t xml:space="preserve">. A progesterona relaxa o músculo liso brônquico, o que reduz a resistência.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do efluxo do humor vítreo.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do efluxo do humor aquoso.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pressão intraocular depende da drenagem do humor aquoso. O vítreo é um gel que não tem efluxo.</w:t>
            </w:r>
          </w:p>
        </w:tc>
      </w:tr>
    </w:tbl>
    <w:bookmarkEnd w:id="27"/>
    <w:bookmarkStart w:id="28" w:name="X9ca960f71aa77ecfeeeb450f1ed4b87523fa541"/>
    <w:p>
      <w:pPr>
        <w:pStyle w:val="Heading2"/>
      </w:pPr>
      <w:r>
        <w:t xml:space="preserve">4º sem D2 · NCS · SP 2.4 · Partograma, pelve e períneo.pdf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nascimento, mais baixa será a numeração.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nascimento, mais alta (mais positiva) será a numeração.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planos de De Lee, o número sobe (de -5 a +5) conforme a cabeça desce; perto do nascimento ele é positivo (+4, +5), como a própria lista da pág. 14 mostra.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 cabeça voltada para cima (em um parto cefálico)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 cabeça voltada para baixo (em um parto cefálico)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Mesmo erro do resumo</w:t>
            </w:r>
            <w:r>
              <w:t xml:space="preserve"> </w:t>
            </w:r>
            <w:r>
              <w:t xml:space="preserve">“</w:t>
            </w:r>
            <w:r>
              <w:t xml:space="preserve">Parto - partograma</w:t>
            </w:r>
            <w:r>
              <w:t xml:space="preserve">”</w:t>
            </w:r>
            <w:r>
              <w:t xml:space="preserve">: estava invertido.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para baixo (em um parto pélvico).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para cima (em um parto pélvico).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Completa a correção acima.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(junção dos ossos parietais).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(junção dos ossos frontais e parietais).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O bregma é o encontro das suturas coronal e sagital (frontais com parietais).</w:t>
            </w:r>
          </w:p>
        </w:tc>
      </w:tr>
    </w:tbl>
    <w:bookmarkEnd w:id="28"/>
    <w:bookmarkStart w:id="29" w:name="Xab3308d69b06c87efb6b5ccabd116ba9d42aa16"/>
    <w:p>
      <w:pPr>
        <w:pStyle w:val="Heading2"/>
      </w:pPr>
      <w:r>
        <w:t xml:space="preserve">4º sem D2 · NCS · SP 2.4 · Diabetes, hipertensão, eclâmpsia e HELLP na gestação.pdf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Gliconeogênese hepática e neoglicogênese: Produção de glicose para as reservas maternas.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Glicogênese hepática e lipogênese: Armazenamento de glicose como glicogênio e gordura.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fase anabólica (até cerca de 24 a 26 semanas), estrógeno e progesterona aumentam a sensibilidade à insulina: o fígado faz glicogênese e lipogênese, e a gliconeogênese diminui (por isso a glicemia de jejum cai).</w:t>
            </w:r>
            <w:r>
              <w:t xml:space="preserve"> </w:t>
            </w:r>
            <w:r>
              <w:t xml:space="preserve">“</w:t>
            </w:r>
            <w:r>
              <w:t xml:space="preserve">Neoglicogênese</w:t>
            </w:r>
            <w:r>
              <w:t xml:space="preserve">”</w:t>
            </w:r>
            <w:r>
              <w:t xml:space="preserve"> </w:t>
            </w:r>
            <w:r>
              <w:t xml:space="preserve">é sinônimo de gliconeogênese. O resumo</w:t>
            </w:r>
            <w:r>
              <w:t xml:space="preserve"> </w:t>
            </w:r>
            <w:r>
              <w:t xml:space="preserve">“</w:t>
            </w:r>
            <w:r>
              <w:t xml:space="preserve">Diabetes gestacional.pdf</w:t>
            </w:r>
            <w:r>
              <w:t xml:space="preserve">”</w:t>
            </w:r>
            <w:r>
              <w:t xml:space="preserve"> </w:t>
            </w:r>
            <w:r>
              <w:t xml:space="preserve">já está sem essa linha.</w:t>
            </w:r>
          </w:p>
        </w:tc>
      </w:tr>
    </w:tbl>
    <w:bookmarkEnd w:id="29"/>
    <w:bookmarkStart w:id="30" w:name="º-sem-d2-ncs-sp-2.1-câncer-de-mama.pdf"/>
    <w:p>
      <w:pPr>
        <w:pStyle w:val="Heading2"/>
      </w:pPr>
      <w:r>
        <w:t xml:space="preserve">4º sem D2 · NCS · SP 2.1 · Câncer de mama.pdf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da 17-hidroxidesidrogenase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da 17β-hidroxiesteroide desidrogenase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correto da enzima: 17β-HSD (tipo 2 converte estradiol em estrona).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 a expressão da enzima 17-hidroxidesidrogenase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 a expressão da enzima 17β-hidroxiesteroide desidrogenase tipo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enzima, segunda menção. No Word pode estar como</w:t>
            </w:r>
            <w:r>
              <w:t xml:space="preserve"> </w:t>
            </w:r>
            <w:r>
              <w:t xml:space="preserve">“</w:t>
            </w:r>
            <w:r>
              <w:t xml:space="preserve">17-hidroxidesidrogenase</w:t>
            </w:r>
            <w:r>
              <w:t xml:space="preserve">”</w:t>
            </w:r>
            <w:r>
              <w:t xml:space="preserve"> </w:t>
            </w:r>
            <w:r>
              <w:t xml:space="preserve">inteiro (no PDF a palavra quebra a linha).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das mulheres desenvolvem câncer de mama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câncer de mama ao longo da vida de cerca de 50 a 60% (é o tumor mais comum na síndrome)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estava, parecia que 90% das portadoras têm câncer de mama. O risco de ter algum câncer chega a cerca de 90%; o de mama é menor (cerca de 50 a 60%), embora seja o tumor mais frequente nas mulheres com Li-Fraumeni (NCCN).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progesterona (RP) na superfície das células.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progesterona (RP) no núcleo das células.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(extra) RE e RP são receptores nucleares, avaliados por imuno-histoquímica nuclear. Só o HER2 é de membrana.</w:t>
            </w:r>
          </w:p>
        </w:tc>
      </w:tr>
    </w:tbl>
    <w:bookmarkEnd w:id="30"/>
    <w:bookmarkStart w:id="31" w:name="conferidos-e-mantidos"/>
    <w:p>
      <w:pPr>
        <w:pStyle w:val="Heading2"/>
      </w:pPr>
      <w:r>
        <w:t xml:space="preserve">Conferidos e mantidos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manter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1.3 Leucemias (pág. 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 pico de incidência entre 2 e 5 anos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Correto. Virou a referência para corrigir a pág. 85.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1.4 Colorretal (pág. 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Tis: Carcinoma in situ (lesão restrita à mucosa).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Correto: Tis (carcinoma intramucoso) fica na mucosa, sem passar a muscular da mucosa. O erro de</w:t>
            </w:r>
            <w:r>
              <w:t xml:space="preserve"> </w:t>
            </w:r>
            <w:r>
              <w:t xml:space="preserve">“</w:t>
            </w:r>
            <w:r>
              <w:t xml:space="preserve">limitado à mucosa</w:t>
            </w:r>
            <w:r>
              <w:t xml:space="preserve">”</w:t>
            </w:r>
            <w:r>
              <w:t xml:space="preserve"> </w:t>
            </w:r>
            <w:r>
              <w:t xml:space="preserve">era só no estágio 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3.1 Toxicologia (pág.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Índice Terapêutico (IT): Calculado como a razão entre DL50 e DE50.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 no contexto dos ensaios em animais (é o que a página trata, junto com DL50 e DL10). A contradição DT50 x DL50 era no SP 3.3, que foi corrigido.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3.1 Toxicologia (pág.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cianeto, que inibe a citocromo c oxidase na cadeia respiratória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Correto. Este é o lugar certo do cianeto (inibição enzimática).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3.2 Chumbo (pág. 1–2, item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inibição da ALA-D causa o acúmulo do ácido delta-aminolevulínico (ALA)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Esse bloqueio leva à acumulação de prótoporfirina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Corretos. O erro de ALA estava só no item</w:t>
            </w:r>
            <w:r>
              <w:t xml:space="preserve"> </w:t>
            </w:r>
            <w:r>
              <w:t xml:space="preserve">“</w:t>
            </w:r>
            <w:r>
              <w:t xml:space="preserve">Ferro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2.2 Eixo hormonal (pág.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Existem 4 tipos de estrógenos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 (estrona, estradiol, estriol e estetrol).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2.2 Eixo hormonal (pág.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Embora existam três formas principais de estrogênio (estradiol, estrona e estriol)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ficar: o texto diz</w:t>
            </w:r>
            <w:r>
              <w:t xml:space="preserve"> </w:t>
            </w:r>
            <w:r>
              <w:t xml:space="preserve">“</w:t>
            </w:r>
            <w:r>
              <w:t xml:space="preserve">principais</w:t>
            </w:r>
            <w:r>
              <w:t xml:space="preserve">”</w:t>
            </w:r>
            <w:r>
              <w:t xml:space="preserve">, e o estetrol é só fetal e de pouca importância clínica. Se quiser deixar tudo igual, troque por</w:t>
            </w:r>
            <w:r>
              <w:t xml:space="preserve"> </w:t>
            </w:r>
            <w:r>
              <w:t xml:space="preserve">“</w:t>
            </w:r>
            <w:r>
              <w:t xml:space="preserve">quatro formas (estradiol, estrona, estriol e estetrol)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2.2 Eixo hormonal (pág.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atingindo o pico entre a 8ª e a 10ª semana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 (Williams).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gestacional.pdf (D2, sem 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anabólica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Conferido: não repete o erro da</w:t>
            </w:r>
            <w:r>
              <w:t xml:space="preserve"> </w:t>
            </w:r>
            <w:r>
              <w:t xml:space="preserve">“</w:t>
            </w:r>
            <w:r>
              <w:t xml:space="preserve">gliconeogênese</w:t>
            </w:r>
            <w:r>
              <w:t xml:space="preserve">”</w:t>
            </w:r>
            <w:r>
              <w:t xml:space="preserve">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2026-10-22T03:06:18Z</dcterms:created>
  <dcterms:modified xsi:type="dcterms:W3CDTF">2026-10-22T03:06:18Z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