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rrata-6º-semestre"/>
    <w:p>
      <w:pPr>
        <w:pStyle w:val="Heading1"/>
      </w:pPr>
      <w:r>
        <w:t xml:space="preserve">Errata · 6º semestre</w:t>
      </w:r>
    </w:p>
    <w:p>
      <w:pPr>
        <w:pStyle w:val="FirstParagraph"/>
      </w:pPr>
      <w:r>
        <w:t xml:space="preserve">Como usar: abra o .docx do resumo, Ctrl+H (Localizar e substituir), cole o texto da coluna</w:t>
      </w:r>
      <w:r>
        <w:t xml:space="preserve"> </w:t>
      </w:r>
      <w:r>
        <w:t xml:space="preserve">“</w:t>
      </w:r>
      <w:r>
        <w:t xml:space="preserve">Localizar</w:t>
      </w:r>
      <w:r>
        <w:t xml:space="preserve">”</w:t>
      </w:r>
      <w:r>
        <w:t xml:space="preserve"> </w:t>
      </w:r>
      <w:r>
        <w:t xml:space="preserve">e troque pelo da coluna</w:t>
      </w:r>
      <w:r>
        <w:t xml:space="preserve"> </w:t>
      </w:r>
      <w:r>
        <w:t xml:space="preserve">“</w:t>
      </w:r>
      <w:r>
        <w:t xml:space="preserve">Substituir por</w:t>
      </w:r>
      <w:r>
        <w:t xml:space="preserve">”</w:t>
      </w:r>
      <w:r>
        <w:t xml:space="preserve">. O texto foi copiado dos PDFs publicados; onde o PDF troca letras (ex.:</w:t>
      </w:r>
      <w:r>
        <w:t xml:space="preserve"> </w:t>
      </w:r>
      <w:r>
        <w:t xml:space="preserve">“</w:t>
      </w:r>
      <w:r>
        <w:t xml:space="preserve">a2vidade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es1mula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conCnuação</w:t>
      </w:r>
      <w:r>
        <w:t xml:space="preserve">”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ti</w:t>
      </w:r>
      <w:r>
        <w:t xml:space="preserve">”</w:t>
      </w:r>
      <w:r>
        <w:t xml:space="preserve">), a palavra foi reconstruída normal, como está no Word. As páginas são as do PDF. Nos gabaritos em lista numerada automática do Word, o número (</w:t>
      </w:r>
      <w:r>
        <w:t xml:space="preserve">“</w:t>
      </w:r>
      <w:r>
        <w:t xml:space="preserve">7.</w:t>
      </w:r>
      <w:r>
        <w:t xml:space="preserve">”</w:t>
      </w:r>
      <w:r>
        <w:t xml:space="preserve">) não é achado pelo Ctrl+F: vá ao item na página indicada e troque só a letra.</w:t>
      </w:r>
    </w:p>
    <w:bookmarkStart w:id="20" w:name="X706dff9288e7736a99bc7adf157530987e95f0a"/>
    <w:p>
      <w:pPr>
        <w:pStyle w:val="Heading2"/>
      </w:pPr>
      <w:r>
        <w:t xml:space="preserve">6º sem D1 · HMEC · Entrevista psiquiátrica, exame do estado mental e avaliação do idoso.pdf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7: preensão 22 kg (&lt; 27), panturrilha 29 cm (&lt; 31), marcha 0,65 m/s (≤ 0,8) e SPPB 6 (≤ 8) = força + massa + desempenho baixos → sarcopenia grave pelo EWGSOP2 do próprio resumo (pág. 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 16: preensão 21 kg, marcha 0,62 m/s, panturrilha 29 cm, SPPB 5 → mesmos achados do caso 12 (gabarito C) → sarcopenia grave.</w:t>
            </w:r>
          </w:p>
        </w:tc>
      </w:tr>
    </w:tbl>
    <w:bookmarkEnd w:id="20"/>
    <w:bookmarkStart w:id="21" w:name="Xc6d561adc4cf843e61f5aa8ef579cb5f7f918e0"/>
    <w:p>
      <w:pPr>
        <w:pStyle w:val="Heading2"/>
      </w:pPr>
      <w:r>
        <w:t xml:space="preserve">6º sem D1 · NCS · SP 1.1 · Transtornos depressivos.pdf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7.C 8.A 8.C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7.C 8.A 9.C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 digitação: a questão 9 ficou numerada como</w:t>
            </w:r>
            <w:r>
              <w:t xml:space="preserve"> </w:t>
            </w:r>
            <w:r>
              <w:t xml:space="preserve">“</w:t>
            </w:r>
            <w:r>
              <w:t xml:space="preserve">8</w:t>
            </w:r>
            <w:r>
              <w:t xml:space="preserve">”</w:t>
            </w:r>
            <w:r>
              <w:t xml:space="preserve">. Resposta 9 = C (a fluoxetina não tem efeito antidepressivo imediato; a alternativa incorreta é a 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(ISRSN) e os antidepressivos tricíclicos (ADTs). Contudo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(ISRSN); os antidepressivos tricíclicos (ADTs) ficam para casos resistentes. Contudo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Tricíclicos não são 1ª linha (toxicidade em superdosagem, efeitos anticolinérgicos). O próprio resumo (pág. 21) e as questões 7 e 34 dizem isso.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idade média de início é em torno de 40 anos,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idade média de início é em torno de 40 anos (Kaplan), com pico de incidência na década dos 20 (DSM-5-TR),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harmonizar: a pág. 15 diz</w:t>
            </w:r>
            <w:r>
              <w:t xml:space="preserve"> </w:t>
            </w:r>
            <w:r>
              <w:t xml:space="preserve">“</w:t>
            </w:r>
            <w:r>
              <w:t xml:space="preserve">Pico de incidência: década dos 20 anos</w:t>
            </w:r>
            <w:r>
              <w:t xml:space="preserve">”</w:t>
            </w:r>
            <w:r>
              <w:t xml:space="preserve">. As duas informações vêm de fontes diferentes e não se excluem; citar a fonte evita parecer contradição.</w:t>
            </w:r>
          </w:p>
        </w:tc>
      </w:tr>
    </w:tbl>
    <w:bookmarkEnd w:id="21"/>
    <w:bookmarkStart w:id="22" w:name="Xdd629a338250f9286e1253605c9d7d06bb2c302"/>
    <w:p>
      <w:pPr>
        <w:pStyle w:val="Heading2"/>
      </w:pPr>
      <w:r>
        <w:t xml:space="preserve">6º sem D1 · NCS · SP 1.2 · Transtornos de ansiedade.pdf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Glicocorticoides → cortisol, DHEA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Glicocorticoides → cortisol; androgênios → DHEA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DHEA é androgênio adrenal (zona reticulada), não glicocorticoide.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Mineralocorticoides → aldosterona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Mineralocorticoides → aldosterona (efeito do ACTH fraco e transitório; o principal estímulo é o SRAA e o K+)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próprio resumo (OBS da pág. 24) diz que a glomerulosa é regulada pelo SRAA e pelo potássio, não pelo ACTH.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Outros: adrenalina e noradrenalina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Adrenalina e noradrenalina vêm da medula adrenal (estímulo simpático), não do córtex nem do ACTH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Catecolaminas são produzidas pela medula (células cromafins), como o resumo explica na pág. 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resultando em excesso de mineralocorticoides = aldosterona.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podendo elevar a aldosterona de forma indireta (simpático → renina → SRAA); o cortisol em excesso também age no receptor mineralocorticoide.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ansiedade crônica a aldosterona sobe pela ativação simpática do SRAA, não pelo ACTH; e o cortisol muito alto satura a 11β-HSD2 e estimula o receptor mineralocorticoide.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consequente produção aumentada de cortisol e aldosterona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consequente produção aumentada de cortisol (a aldosterona sobe sobretudo pela ativação simpática do SRAA)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motivo: ACTH não é o regulador principal da aldosterona.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Hipocalemia, muitas vezes discreta/moderada (por aumento da perda renal de K+)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Hipocalemia discreta e transitória (a adrenalina, via β2, desloca o K+ para dentro das células)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Hipocalemia do estresse é sobretudo por desvio intracelular de K+ pela adrenalina; não é achado típico da ansiedade por hiperaldosteronismo.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Ativação eixo HPA → ↑ Aldosterona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Ativação eixo HPA + simpático (SRAA) → ↑ Cortisol/Aldosterona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 o fluxograma ao mecanismo correto.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liberação de CRH → ACTH → aumento de cortisol e aldosterona.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liberação de CRH → ACTH → aumento de cortisol; a aldosterona sobe pela ativação simpática do SRAA.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Gabarito da questão 34 repete o erro do texto.</w:t>
            </w:r>
          </w:p>
        </w:tc>
      </w:tr>
    </w:tbl>
    <w:bookmarkEnd w:id="22"/>
    <w:bookmarkStart w:id="23" w:name="Xae710eda5988325a15d8425e701340b5a46712c"/>
    <w:p>
      <w:pPr>
        <w:pStyle w:val="Heading2"/>
      </w:pPr>
      <w:r>
        <w:t xml:space="preserve">6º sem D1 · NCS · SP 1.4 · Transtorno bipolar.pdf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de Recidiva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de Recaída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Pela terminologia padrão (Frank/Kupfer), retorno dos sintomas no mesmo episódio, antes da remissão completa, é RECAÍDA; recorrência (recidiva) é um episódio novo depois da recuperação. Assim o gabarito 25.B (Recaída) fica certo e coerente com o texto.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se alcançar a remissão completa.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se alcançar a remissão completa (já um episódio novo após a recuperação é recorrência/recidiva).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Deixa a diferença explícita para a prova.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fases agudas, recidivas, manutenção e continuação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fases agudas, recaídas, manutenção e continuação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termo em todo o resumo.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IV. Fase de recidiva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IV. Fase de recaída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Questão 34 usa a mesma definição; gabarito 34.C continua certo.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 novo episódio maníaco.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a apresentar sintomas maníacos.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Novo episódio</w:t>
            </w:r>
            <w:r>
              <w:t xml:space="preserve">”</w:t>
            </w:r>
            <w:r>
              <w:t xml:space="preserve"> </w:t>
            </w:r>
            <w:r>
              <w:t xml:space="preserve">contradiz</w:t>
            </w:r>
            <w:r>
              <w:t xml:space="preserve"> </w:t>
            </w:r>
            <w:r>
              <w:t xml:space="preserve">“</w:t>
            </w:r>
            <w:r>
              <w:t xml:space="preserve">antes da remissão completa</w:t>
            </w:r>
            <w:r>
              <w:t xml:space="preserve">”</w:t>
            </w:r>
            <w:r>
              <w:t xml:space="preserve"> </w:t>
            </w:r>
            <w:r>
              <w:t xml:space="preserve">no mesmo enunciado. Gabarito 25 = B (Recaída), mantém.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necessidade de dormir, seguido por um episódio de humor depressivo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pouca necessidade de sono por 5 dias, sem prejuízo importante nem internação, seguido por 3 semanas de humor depressivo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duração e gravidade, não dá para separar hipomania (TB II) de mania (TB I). Com os dados acrescentados, o gabarito 5.A (TB II) fica inequívoco.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é o foco no terceiro semestre, 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é o foco deste semestre, 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resumo é do 6º semestre.</w:t>
            </w:r>
          </w:p>
        </w:tc>
      </w:tr>
    </w:tbl>
    <w:bookmarkEnd w:id="23"/>
    <w:bookmarkStart w:id="24" w:name="X9a770af87220281fa92a376dbbddb68e23ebf35"/>
    <w:p>
      <w:pPr>
        <w:pStyle w:val="Heading2"/>
      </w:pPr>
      <w:r>
        <w:t xml:space="preserve">6º sem D3 · NCS · SP 3.3 · Neoplasia e síndrome consumptiva.pdf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figura que você mostrou (terceira imagem) tem: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figura do artigo mostra: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 de conversa.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aparecem no seu esquema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aparecem no esquema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 de conversa.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inicial da doença: T3 e T4 aumentam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inicial da doença: T3 e T4 em geral normais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elevação de T3/T4 no câncer inicial; o hipermetabolismo vem de citocinas e catecolaminas. Com a progressão cai o T3 (síndrome do eutireoidiano doente).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 leva a um aumento funcional (não patológico) de T3/T4, por três razões: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 aumenta o gasto energético sem elevar T3/T4, por três razões: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motivo.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Aumento da conversão periférica de T4→T3 (via deiodinase tipo 2) para elevar a velocidade metabólica.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Citocinas (TNF-α, IL-6) e catecolaminas aumentam o gasto energético de repouso.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sem base; troca pelo mecanismo aceito.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Resistência central relativa ao hormônio tireoidiano, fazendo o eixo compensar com mais produção.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Ciclos fúteis (glicose–lactato, lipólise–reesterificação) e maior turnover proteico gastam energia.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motivo.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síndrome do tumor doente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síndrome do eutireoidiano doente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correto da</w:t>
            </w:r>
            <w:r>
              <w:t xml:space="preserve"> </w:t>
            </w:r>
            <w:r>
              <w:t xml:space="preserve">“</w:t>
            </w:r>
            <w:r>
              <w:t xml:space="preserve">non-thyroidal illness syndrome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a 80 anos, fumantes com ≥ 30 maços/ano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a 80 anos, fumantes com ≥ 20 maços-ano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USPSTF 2021 (adotado também pelas sociedades brasileiras de pneumologia e radiologia). O MS/INCA não tem programa populacional de rastreio de pulmão; para prova, usar 50–80 anos e 20 maços-ano, fumante atual ou que parou há ≤ 15 anos.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pulmões (local mais frequente)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pulmões (a via hematogênica é rara: o mais frequente é o peritônio, por via transcelômica)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câncer de ovário se espalha sobretudo pela cavidade peritoneal (carcinomatose, ascite); a pleura é o sítio extra-abdominal mais comum.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fígado (via veia cava → veia hepática)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fígado (geralmente implantes na superfície, por via peritoneal)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sangue não vai da cava para a veia hepática (a veia hepática drena para a cava). Metástase hepática do ovário é, em geral, implante capsular.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podem ocorrer métastases renais por contiguidade vascular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metástases renais são raras (hematogênicas, não por contiguidade)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existe</w:t>
            </w:r>
            <w:r>
              <w:t xml:space="preserve"> </w:t>
            </w:r>
            <w:r>
              <w:t xml:space="preserve">“</w:t>
            </w:r>
            <w:r>
              <w:t xml:space="preserve">contiguidade vascular</w:t>
            </w:r>
            <w:r>
              <w:t xml:space="preserve">”</w:t>
            </w:r>
            <w:r>
              <w:t xml:space="preserve">; o rim é sítio raro de metástase do ovário.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com possível envolvimento renal mais evidente como local secundário.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envolvimento renal é raro.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Coerência com a linha acima.</w:t>
            </w:r>
          </w:p>
        </w:tc>
      </w:tr>
    </w:tbl>
    <w:bookmarkEnd w:id="24"/>
    <w:bookmarkStart w:id="25" w:name="X788ee019ff67f08024cc3da10dec89ad6b0dd22"/>
    <w:p>
      <w:pPr>
        <w:pStyle w:val="Heading2"/>
      </w:pPr>
      <w:r>
        <w:t xml:space="preserve">6º sem D2 · NCS · SP 2.1 · Choque hipovolêmico, hemostasia sanguínea e drogas vasoativas.pdf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choque hipovolêmico vs hemorrágico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choque cardiogênico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quadro descreve hipoperfusão por baixo débito + congestão (B3, turgência jugular, estertores, pulso alternans): é o choque cardiogênico, logo após a seção dele.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Relação 3:1 (3 mL de cristalóide para cada 1 mL de sangue perdido), sabendo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3:1 abandonada no ATLS 10 (após 1 L, sangue precoce), sabendo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ATLS 10ª ed. retirou a regra 3:1: no máximo 1 L de cristaloide e transfusão precoce (1:1:1), como o próprio item 4 diz.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proporção de reposição é de 3:1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antiga regra 3:1 foi abandonada (ATLS 10) e prioriza-se sangue; ela previa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motivo (o resto da frase,</w:t>
            </w:r>
            <w:r>
              <w:t xml:space="preserve"> </w:t>
            </w:r>
            <w:r>
              <w:t xml:space="preserve">“</w:t>
            </w:r>
            <w:r>
              <w:t xml:space="preserve">3 mL de cristalóide para cada 1 mL…</w:t>
            </w:r>
            <w:r>
              <w:t xml:space="preserve">”</w:t>
            </w:r>
            <w:r>
              <w:t xml:space="preserve">, continua como explicação da regra antiga).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drogas que aumentam a PA, retendo volume.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drogas que aumentam a PA por vasoconstrição (↑ resistência vascular).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Vasopressor age em receptores α1/V1 contraindo o vaso; não retém volume.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doses variam de 0,05 µg/kg/min. e variam até 140 µg/kg/min,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doses variam conforme a droga (ex.: noradrenalina ~0,05 a 1 µg/kg/min; dopamina até 20 µg/kg/min),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 µg/kg/min não é dose de nenhum vasopressor.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Também são vasopressores, agem fazendo vasodilatação.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são vasopressores: vários (dobutamina, milrinona, levosimendana) até causam vasodilatação.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Inotrópico aumenta contratilidade; vasopressor faz vasoconstrição. A frase misturava os dois e se contradizia.</w:t>
            </w:r>
          </w:p>
        </w:tc>
      </w:tr>
    </w:tbl>
    <w:bookmarkEnd w:id="25"/>
    <w:bookmarkStart w:id="26" w:name="X2a5b13a919457152a4e49e7269347178c3948a1"/>
    <w:p>
      <w:pPr>
        <w:pStyle w:val="Heading2"/>
      </w:pPr>
      <w:r>
        <w:t xml:space="preserve">6º sem D2 · NCS · SP 2.2 · Aterosclerose, dissecção aórtica, trombose e embolia.pdf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Infarto na Artéria Coronária Anterior (ACA)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Infarto na Artéria Cerebral Anterior (ACA)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as artérias cerebrais (AVC), não coronárias.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Infarto Artéria Coronária Média (ACM)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Infarto Artéria Cerebral Média (ACM)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motivo.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Infarto Artéria Coronária Posterior (ACP)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Infarto Artéria Cerebral Posterior (ACP)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motivo.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Bem menos comum, responsável por ~10–15% dos casos.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Bem menos comum, responsável por ~2–3% dos casos.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Infarto isolado da ACA é raro (cerca de 1–3% dos AVCs isquêmicos); 10–15% contradiz</w:t>
            </w:r>
            <w:r>
              <w:t xml:space="preserve"> </w:t>
            </w:r>
            <w:r>
              <w:t xml:space="preserve">“</w:t>
            </w:r>
            <w:r>
              <w:t xml:space="preserve">bem menos comum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isolado é raro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ADH eleva a pressão arterial por meio de três mecanismos: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ADH eleva a pressão arterial por meio de dois mecanismos: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3º mecanismo listado não é do ADH (ver linha abaixo).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ADH estimula a secreção de aldosterona pelas supra-renais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angiotensina II (não o ADH) estimula a secreção de aldosterona pelas suprarrenais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estimula a zona glomerulosa é a angiotensina II (e o K+), como o resumo diz na pág. 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Inflamação: origem mais frequente, por liberação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Inflamação (vasculites): causa menos comum, por liberação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causa mais frequente de aneurisma é a aterosclerose, como diz a linha logo acima.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 seja, os beta bloqueadores vão: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 seja, os α1-bloqueadores levam 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trecho é da seção de α1-bloqueadores (vasodilatação, HPB).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Suspender o fármaco se o aumento da creatinina for &gt;20%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Suspender o fármaco se o aumento da creatinina for &gt;30%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Aumento de até 30% após IECA/BRA é esperado e aceitável; acima de 30% suspender e investigar estenose de artéria renal.</w:t>
            </w:r>
          </w:p>
        </w:tc>
      </w:tr>
    </w:tbl>
    <w:bookmarkEnd w:id="26"/>
    <w:bookmarkStart w:id="27" w:name="X34927b7d1535e620531547f38332e42f442b9ba"/>
    <w:p>
      <w:pPr>
        <w:pStyle w:val="Heading2"/>
      </w:pPr>
      <w:r>
        <w:t xml:space="preserve">6º sem D2 · NCS · SP 2.3 · Trombose, embolia, antiplaquetários, anticoagulantes e trombolíticos.pdf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Localizar (texto exato, curto, copiado do PDF, sem quebras)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Substituir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medir via extrínseca e comum através dos fatores XII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medir via intrínseca e comum através dos fatores XII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TTPa avalia a via intrínseca (XII, XI, IX, VIII) e a comum; a extrínseca é o TP.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fatores I,II, V, VII, IX, CI, e XII, além de protéinas C e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fatores I, II, V, VII, IX, X, XI e XII, além das proteínas C e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CI</w:t>
            </w:r>
            <w:r>
              <w:t xml:space="preserve">”</w:t>
            </w:r>
            <w:r>
              <w:t xml:space="preserve"> </w:t>
            </w:r>
            <w:r>
              <w:t xml:space="preserve">era XI e faltava o fator X (que o fígado produz; ele é vitamina K-dependente).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realizado adicionando fibrinogênio em fibrina.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realizado adicionando trombina ao plasma.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TT adiciona trombina ao plasma citratado e mede o tempo até o fibrinogênio virar fibrina; a frase estava truncada.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ASS por 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AAS por 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Sigla correta (ácido acetilsalicílico).</w:t>
            </w:r>
          </w:p>
        </w:tc>
      </w:tr>
    </w:tbl>
    <w:bookmarkEnd w:id="27"/>
    <w:bookmarkStart w:id="28" w:name="conferidos-e-mantidos"/>
    <w:p>
      <w:pPr>
        <w:pStyle w:val="Heading2"/>
      </w:pPr>
      <w:r>
        <w:t xml:space="preserve">Conferidos e mantidos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HMEC, caso 12 (gabarito C):</w:t>
      </w:r>
      <w:r>
        <w:t xml:space="preserve"> </w:t>
      </w:r>
      <w:r>
        <w:t xml:space="preserve">correto. Mesmos achados dos casos 7 e 16 = sarcopenia grave. Só os casos 7 e 16 estavam errados (B).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HMEC, caso 13 (gabarito B):</w:t>
      </w:r>
      <w:r>
        <w:t xml:space="preserve"> </w:t>
      </w:r>
      <w:r>
        <w:t xml:space="preserve">correto. A paciente tem 4 critérios de Fried (perda de peso, fadiga, marcha lenta, baixa atividade). Na questão a alternativa B é</w:t>
      </w:r>
      <w:r>
        <w:t xml:space="preserve"> </w:t>
      </w:r>
      <w:r>
        <w:t xml:space="preserve">“</w:t>
      </w:r>
      <w:r>
        <w:t xml:space="preserve">Frágil (≥3 critérios)</w:t>
      </w:r>
      <w:r>
        <w:t xml:space="preserve">”</w:t>
      </w:r>
      <w:r>
        <w:t xml:space="preserve">, então o gabarito B já está certo. O apontamento de que estava</w:t>
      </w:r>
      <w:r>
        <w:t xml:space="preserve"> </w:t>
      </w:r>
      <w:r>
        <w:t xml:space="preserve">“</w:t>
      </w:r>
      <w:r>
        <w:t xml:space="preserve">pré-frágil</w:t>
      </w:r>
      <w:r>
        <w:t xml:space="preserve">”</w:t>
      </w:r>
      <w:r>
        <w:t xml:space="preserve"> </w:t>
      </w:r>
      <w:r>
        <w:t xml:space="preserve">não se confirma.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HMEC, caso 17 (gabarito C):</w:t>
      </w:r>
      <w:r>
        <w:t xml:space="preserve"> </w:t>
      </w:r>
      <w:r>
        <w:t xml:space="preserve">correto. 4 critérios de Fried = frágil, e nesta questão a alternativa C é</w:t>
      </w:r>
      <w:r>
        <w:t xml:space="preserve"> </w:t>
      </w:r>
      <w:r>
        <w:t xml:space="preserve">“</w:t>
      </w:r>
      <w:r>
        <w:t xml:space="preserve">Frágil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HMEC, caso 8 (gabarito C):</w:t>
      </w:r>
      <w:r>
        <w:t xml:space="preserve"> </w:t>
      </w:r>
      <w:r>
        <w:t xml:space="preserve">correto (5 critérios: fadiga, perda de 5 kg, baixa atividade, marcha de 4,5 m em 10 s = 0,45 m/s, preensão reduzida).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 1.1, idade de início:</w:t>
      </w:r>
      <w:r>
        <w:t xml:space="preserve"> </w:t>
      </w:r>
      <w:r>
        <w:t xml:space="preserve">mantido o conteúdo.</w:t>
      </w:r>
      <w:r>
        <w:t xml:space="preserve"> </w:t>
      </w:r>
      <w:r>
        <w:t xml:space="preserve">“</w:t>
      </w:r>
      <w:r>
        <w:t xml:space="preserve">Média ~40 anos</w:t>
      </w:r>
      <w:r>
        <w:t xml:space="preserve">”</w:t>
      </w:r>
      <w:r>
        <w:t xml:space="preserve"> </w:t>
      </w:r>
      <w:r>
        <w:t xml:space="preserve">(Kaplan) e</w:t>
      </w:r>
      <w:r>
        <w:t xml:space="preserve"> </w:t>
      </w:r>
      <w:r>
        <w:t xml:space="preserve">“</w:t>
      </w:r>
      <w:r>
        <w:t xml:space="preserve">pico de incidência nos 20</w:t>
      </w:r>
      <w:r>
        <w:t xml:space="preserve">”</w:t>
      </w:r>
      <w:r>
        <w:t xml:space="preserve"> </w:t>
      </w:r>
      <w:r>
        <w:t xml:space="preserve">(DSM) não se excluem; a errata só põe a fonte de cada um.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 1.4, gabarito 25.B (Recaída):</w:t>
      </w:r>
      <w:r>
        <w:t xml:space="preserve"> </w:t>
      </w:r>
      <w:r>
        <w:t xml:space="preserve">mantido. O erro estava na definição do texto (chamava de</w:t>
      </w:r>
      <w:r>
        <w:t xml:space="preserve"> </w:t>
      </w:r>
      <w:r>
        <w:t xml:space="preserve">“</w:t>
      </w:r>
      <w:r>
        <w:t xml:space="preserve">recidiva</w:t>
      </w:r>
      <w:r>
        <w:t xml:space="preserve">”</w:t>
      </w:r>
      <w:r>
        <w:t xml:space="preserve"> </w:t>
      </w:r>
      <w:r>
        <w:t xml:space="preserve">o que a terminologia padrão chama de recaída); a errata corrige o texto e a questão 34, não o gabarito.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 1.4, gabarito 5.A (TB II):</w:t>
      </w:r>
      <w:r>
        <w:t xml:space="preserve"> </w:t>
      </w:r>
      <w:r>
        <w:t xml:space="preserve">mantido; só o enunciado ganhou duração e gravidade.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 1.2, OBS da pág. 24</w:t>
      </w:r>
      <w:r>
        <w:t xml:space="preserve"> </w:t>
      </w:r>
      <w:r>
        <w:t xml:space="preserve">(</w:t>
      </w:r>
      <w:r>
        <w:t xml:space="preserve">“</w:t>
      </w:r>
      <w:r>
        <w:t xml:space="preserve">Zona glomerulosa … regulada pelo SRAA e potássio, não pelo ACTH</w:t>
      </w:r>
      <w:r>
        <w:t xml:space="preserve">”</w:t>
      </w:r>
      <w:r>
        <w:t xml:space="preserve">): correta, mantida. É ela que mostra que as páginas 25–26 estavam erradas.</w:t>
      </w:r>
    </w:p>
    <w:bookmarkEnd w:id="28"/>
    <w:bookmarkStart w:id="29" w:name="Xd06af12dd30f739901f01697a5bf24a73273072"/>
    <w:p>
      <w:pPr>
        <w:pStyle w:val="Heading2"/>
      </w:pPr>
      <w:r>
        <w:t xml:space="preserve">Observações extras (não pedidas, para a Laura decidir)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 1.1, questão 23 (gabarito D, ISRS):</w:t>
      </w:r>
      <w:r>
        <w:t xml:space="preserve"> </w:t>
      </w:r>
      <w:r>
        <w:t xml:space="preserve">a alternativa A (IRSN) também é 1ª linha para depressão e ansiedade. Se quiser uma resposta única, mude a A para algo que não seja 1ª linha (ex.:</w:t>
      </w:r>
      <w:r>
        <w:t xml:space="preserve"> </w:t>
      </w:r>
      <w:r>
        <w:t xml:space="preserve">“</w:t>
      </w:r>
      <w:r>
        <w:t xml:space="preserve">Antidepressivos tricíclicos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 3.3, mamografia (pág. 10):</w:t>
      </w:r>
      <w:r>
        <w:t xml:space="preserve"> </w:t>
      </w:r>
      <w:r>
        <w:t xml:space="preserve">em 2025 o Ministério da Saúde ampliou o rastreio para 50 a 74 anos, com acesso a partir dos 40 anos sob decisão compartilhada. Vale conferir a nota técnica atual antes de mudar o</w:t>
      </w:r>
      <w:r>
        <w:t xml:space="preserve"> </w:t>
      </w:r>
      <w:r>
        <w:t xml:space="preserve">“</w:t>
      </w:r>
      <w:r>
        <w:t xml:space="preserve">50 a 69 anos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 2.3 (pág. 25),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 FÍGADO SÓ NÃO PRODUZ FATOR VIII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é a frase clássica de prova e pode ficar; mais exato seria</w:t>
      </w:r>
      <w:r>
        <w:t xml:space="preserve"> </w:t>
      </w:r>
      <w:r>
        <w:t xml:space="preserve">“</w:t>
      </w:r>
      <w:r>
        <w:t xml:space="preserve">o fator VIII é produzido principalmente pelo endotélio (inclusive o sinusoidal hepático)</w:t>
      </w:r>
      <w:r>
        <w:t xml:space="preserve">”</w:t>
      </w:r>
      <w: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2026-10-22T03:06:18Z</dcterms:created>
  <dcterms:modified xsi:type="dcterms:W3CDTF">2026-10-22T03:06:18Z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