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errata-8º-semestre"/>
    <w:p>
      <w:pPr>
        <w:pStyle w:val="Heading1"/>
      </w:pPr>
      <w:r>
        <w:t xml:space="preserve">Errata · 8º semestre</w:t>
      </w:r>
    </w:p>
    <w:p>
      <w:pPr>
        <w:pStyle w:val="FirstParagraph"/>
      </w:pPr>
      <w:r>
        <w:t xml:space="preserve">Como usar: abra o .docx do resumo, Ctrl+H (Localizar e substituir), cole o texto da coluna</w:t>
      </w:r>
      <w:r>
        <w:t xml:space="preserve"> </w:t>
      </w:r>
      <w:r>
        <w:t xml:space="preserve">“</w:t>
      </w:r>
      <w:r>
        <w:t xml:space="preserve">Localizar</w:t>
      </w:r>
      <w:r>
        <w:t xml:space="preserve">”</w:t>
      </w:r>
      <w:r>
        <w:t xml:space="preserve"> </w:t>
      </w:r>
      <w:r>
        <w:t xml:space="preserve">e troque pelo da coluna</w:t>
      </w:r>
      <w:r>
        <w:t xml:space="preserve"> </w:t>
      </w:r>
      <w:r>
        <w:t xml:space="preserve">“</w:t>
      </w:r>
      <w:r>
        <w:t xml:space="preserve">Substituir por</w:t>
      </w:r>
      <w:r>
        <w:t xml:space="preserve">”</w:t>
      </w:r>
      <w:r>
        <w:t xml:space="preserve">. O texto foi copiado dos PDFs publicados; onde o PDF troca letras (ex.:</w:t>
      </w:r>
      <w:r>
        <w:t xml:space="preserve"> </w:t>
      </w:r>
      <w:r>
        <w:t xml:space="preserve">“</w:t>
      </w:r>
      <w:r>
        <w:t xml:space="preserve">sistemáDca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aWvar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conHnua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es=lo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ti</w:t>
      </w:r>
      <w:r>
        <w:t xml:space="preserve">”</w:t>
      </w:r>
      <w:r>
        <w:t xml:space="preserve">/</w:t>
      </w:r>
      <w:r>
        <w:t xml:space="preserve">“</w:t>
      </w:r>
      <w:r>
        <w:t xml:space="preserve">tí</w:t>
      </w:r>
      <w:r>
        <w:t xml:space="preserve">”</w:t>
      </w:r>
      <w:r>
        <w:t xml:space="preserve">/</w:t>
      </w:r>
      <w:r>
        <w:t xml:space="preserve">“</w:t>
      </w:r>
      <w:r>
        <w:t xml:space="preserve">tu</w:t>
      </w:r>
      <w:r>
        <w:t xml:space="preserve">”</w:t>
      </w:r>
      <w:r>
        <w:t xml:space="preserve">), a palavra foi reconstruída normal, como está no Word. As páginas são as do PDF. Quando o mesmo trecho aparece duas vezes no resumo, a linha diz qual ocorrência trocar.</w:t>
      </w:r>
    </w:p>
    <w:p>
      <w:pPr>
        <w:pStyle w:val="BodyText"/>
      </w:pPr>
      <w:r>
        <w:t xml:space="preserve">Referências usadas na conferência: AHA 2025 (RCP e cuidados pós-PCR), SBC 2019, Diretriz Brasileira de Dislipidemias 2025 (SBC), FEBRASGO (Protocolos de pré-eclâmpsia e HPP), MS (Manual de Gestação de Alto Risco; Estratégia Zero Morte Materna por Hemorragia), SBD 2026 e ADA 2026.</w:t>
      </w:r>
    </w:p>
    <w:bookmarkStart w:id="20" w:name="º-sem-d1-hmec-acls.pdf"/>
    <w:p>
      <w:pPr>
        <w:pStyle w:val="Heading2"/>
      </w:pPr>
      <w:r>
        <w:t xml:space="preserve">8º sem D1 · HMEC · ACLS.pdf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SP2.3 — Síndrome Metabólica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Abordagem Inicial e ACLS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Cabeçalho de outro resumo (provavelmente no cabeçalho da página do Word; o Ctrl+F também procura lá). Pode só apagar.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elevação abrupta e sustentada (&gt; 10 mmHg) sugere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elevação abrupta e sustentada (em geral para ≥ 40 mmHg) sugere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AHA: o sinal de RCE é a subida abrupta e sustentada do ETCO₂, tipicamente para ≥ 40 mmHg.</w:t>
            </w:r>
            <w:r>
              <w:t xml:space="preserve"> </w:t>
            </w:r>
            <w:r>
              <w:t xml:space="preserve">“</w:t>
            </w:r>
            <w:r>
              <w:t xml:space="preserve">&gt; 10 mmHg</w:t>
            </w:r>
            <w:r>
              <w:t xml:space="preserve">”</w:t>
            </w:r>
            <w:r>
              <w:t xml:space="preserve"> </w:t>
            </w:r>
            <w:r>
              <w:t xml:space="preserve">se confunde com o limiar de RCP de qualidade da mesma linha. Unificado com o resumo de RPC em ritmos chocáveis.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&lt; 70 mg/dL e &gt; 180 mg/dL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&lt; 70 e &gt; 180 mg/dL (alvo usual 140–180 mg/dL)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harmonizar com o resumo de RPC em ritmos chocáveis (os dois valores estão certos e se completam).</w:t>
            </w:r>
          </w:p>
        </w:tc>
      </w:tr>
    </w:tbl>
    <w:bookmarkEnd w:id="20"/>
    <w:bookmarkStart w:id="21" w:name="Xa07332503aaf2f6746a2dff8a252ffc919ed434"/>
    <w:p>
      <w:pPr>
        <w:pStyle w:val="Heading2"/>
      </w:pPr>
      <w:r>
        <w:t xml:space="preserve">8º sem D1 · HMEC · RPC em ritmos chocáveis.pdf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cardiopulmonar em rtimos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cardiopulmonar em ritmos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de digitação no título.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(alcançando níveis &gt; 35–40 mmHg)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 geral para ≥ 40 mmHg)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AHA: subida abrupta e sustentada, tipicamente ≥ 40 mmHg. Mesmo valor do resumo de ACLS. Se o Ctrl+F não achar, procure</w:t>
            </w:r>
            <w:r>
              <w:t xml:space="preserve"> </w:t>
            </w:r>
            <w:r>
              <w:t xml:space="preserve">“</w:t>
            </w:r>
            <w:r>
              <w:t xml:space="preserve">35</w:t>
            </w:r>
            <w:r>
              <w:t xml:space="preserve">”</w:t>
            </w:r>
            <w:r>
              <w:t xml:space="preserve"> </w:t>
            </w:r>
            <w:r>
              <w:t xml:space="preserve">(o traço pode ser</w:t>
            </w:r>
            <w:r>
              <w:t xml:space="preserve"> </w:t>
            </w:r>
            <w:r>
              <w:t xml:space="preserve">“</w:t>
            </w:r>
            <w:r>
              <w:t xml:space="preserve">–</w:t>
            </w:r>
            <w:r>
              <w:t xml:space="preserve">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</w:t>
            </w:r>
            <w:r>
              <w:t xml:space="preserve">–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92% e 98% (evitando a hiperóxia)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90% e 98% (evitando a hiperóxia)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AHA 2025: SpO₂ 90–98% após o RCE (92–98% era a meta da AHA 2020). Igual ao ACLS (Tabela 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investigar a presenças de Oclusão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investigar a presença de Oclusão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de digitação.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Cinesiocoroneraiografia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Cineangiocoronariografia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de digitação.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rigoroso da normotermia (mantendo a temperatura corporal entre 36°C e 37,4°C)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direcionado da temperatura (mantendo a temperatura corporal entre 32 °C e 37,5 °C, sem febre)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AHA 2025: controle de temperatura entre 32 e 37,5 °C em quem não obedece a comandos. 36–37,4 °C não é a faixa da AHA. Igual ao ACLS.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pelo menos 24 horas, prevenindo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pelo menos 36 horas, prevenindo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AHA 2025: manter o controle de temperatura por pelo menos 36 h (24 h era a AHA 2020). Igual ao ACLS.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faixa de 140–180 mg/dL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faixa de 140–180 mg/dL (evitar &lt; 70 e &gt; 180)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harmonizar com o ACLS (mesma frase nos dois resumos).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Subida brusca de ETCO₂ para &gt; 35–40 mmHg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Subida brusca e sustentada de ETCO₂ (em geral para ≥ 40 mmHg)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ajuste da pág. 5 (o quadro</w:t>
            </w:r>
            <w:r>
              <w:t xml:space="preserve"> </w:t>
            </w:r>
            <w:r>
              <w:t xml:space="preserve">“</w:t>
            </w:r>
            <w:r>
              <w:t xml:space="preserve">Cuidado!</w:t>
            </w:r>
            <w:r>
              <w:t xml:space="preserve">”</w:t>
            </w:r>
            <w:r>
              <w:t xml:space="preserve"> </w:t>
            </w:r>
            <w:r>
              <w:t xml:space="preserve">repete o valor).</w:t>
            </w:r>
          </w:p>
        </w:tc>
      </w:tr>
    </w:tbl>
    <w:bookmarkEnd w:id="21"/>
    <w:bookmarkStart w:id="22" w:name="Xbc9ed16c242009311560f80a979c43f80bacfe6"/>
    <w:p>
      <w:pPr>
        <w:pStyle w:val="Heading2"/>
      </w:pPr>
      <w:r>
        <w:t xml:space="preserve">8º sem D1 · HMEC · SCA - protocolo inicial de atendimento ao suspeito de IAM.pdf</w:t>
      </w:r>
    </w:p>
    <w:p>
      <w:pPr>
        <w:pStyle w:val="FirstParagraph"/>
      </w:pPr>
      <w:r>
        <w:t xml:space="preserve">O PDF não tem número de página; a coluna indica a seção.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(título)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pronto-socorro (sem farmacoterapia)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pronto-socorro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resumo traz AAS, P2Y12, anticoagulação e nitrato nos fluxogramas; o título dizia o contrário.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Seção 3 (Killip)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Estertores crepitantes basais ou presenção de 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Estertores crepitantes basais ou presença de 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de digitação.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Seção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REAMINHAMENTO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ENCAMINHAMENTO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de digitação. O</w:t>
            </w:r>
            <w:r>
              <w:t xml:space="preserve"> </w:t>
            </w:r>
            <w:r>
              <w:t xml:space="preserve">“</w:t>
            </w:r>
            <w:r>
              <w:t xml:space="preserve">(SEM MEDICAÇÃO)</w:t>
            </w:r>
            <w:r>
              <w:t xml:space="preserve">”</w:t>
            </w:r>
            <w:r>
              <w:t xml:space="preserve"> </w:t>
            </w:r>
            <w:r>
              <w:t xml:space="preserve">desse fluxograma pode ficar: ele mesmo não traz remédio.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Fluxo IAMCSST, item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MONABCH inicial: AAS 162–325mg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Medidas iniciais (MONABCH: Morfina, O₂, Nitrato, AAS, Betabloqueador, Clopidogrel/P2Y12, Heparina): AAS 162–325mg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sigla aparecia sem explicação. Mesmas letras do resumo de NCS · Síndrome coronariana aguda.</w:t>
            </w:r>
          </w:p>
        </w:tc>
      </w:tr>
    </w:tbl>
    <w:bookmarkEnd w:id="22"/>
    <w:bookmarkStart w:id="23" w:name="Xaeeef2e3c024031c96120796927e5cea8f3c0b1"/>
    <w:p>
      <w:pPr>
        <w:pStyle w:val="Heading2"/>
      </w:pPr>
      <w:r>
        <w:t xml:space="preserve">8º sem D1 · PMSUS · Dislipidemia - oficina 2.pdf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(LDL-C ≥ 100mg/dL.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(LDL-C ≥ 160 mg/dL).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Classificação fenotípica (SBC): hipercolesterolemia isolada = LDL-c ≥ 160 mg/dL. Faltava também o</w:t>
            </w:r>
            <w:r>
              <w:t xml:space="preserve"> </w:t>
            </w:r>
            <w:r>
              <w:t xml:space="preserve">“</w:t>
            </w:r>
            <w:r>
              <w:t xml:space="preserve">)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(HDL-C ≤ 40mg/dL) em homens ou (50≤mg/dL em mulheres).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(HDL-C &lt; 40 mg/dL em homens ou &lt; 50 mg/dL em mulheres).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Parêntese e sinal quebrados. SBC: HDL baixo = &lt; 40 mg/dL (homem) e &lt; 50 mg/dL (mulher).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Restrita a casos especiais (10 mg é a dose usual). 80 mg/dia associa-se a maior toxicidade. Adaptado de: Brasil. PCDT da Dislipidemia, 2019 (Tabela 1).*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 Atorvastatina 80 mg: restrita a casos especiais (10 mg é a dose usual). ** Sinvastatina 80 mg/dia: associa-se a maior toxicidade (miopatia). Adaptado de: Brasil. PCDT da Dislipidemia, 2019 (Tabela 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de rodapé embaralhada: os asteriscos sumiram do começo e foram para o fim. Cada nota volta para o seu remédio (* = atorvastatina 80, ** = sinvastatina 80 na Tabela 6). Se o Ctrl+F não achar a frase inteira (são duas linhas no Word), procure</w:t>
            </w:r>
            <w:r>
              <w:t xml:space="preserve"> </w:t>
            </w:r>
            <w:r>
              <w:t xml:space="preserve">“</w:t>
            </w:r>
            <w:r>
              <w:t xml:space="preserve">Restrita a casos especiais</w:t>
            </w:r>
            <w:r>
              <w:t xml:space="preserve">”</w:t>
            </w:r>
            <w:r>
              <w:t xml:space="preserve">.</w:t>
            </w:r>
          </w:p>
        </w:tc>
      </w:tr>
    </w:tbl>
    <w:bookmarkEnd w:id="23"/>
    <w:bookmarkStart w:id="24" w:name="º-sem-d1-ncs-distúrbios-do-ritmo.pdf"/>
    <w:p>
      <w:pPr>
        <w:pStyle w:val="Heading2"/>
      </w:pPr>
      <w:r>
        <w:t xml:space="preserve">8º sem D1 · NCS · Distúrbios do ritmo.pdf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um RITMO DE PARADA!!!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ser RITMO DE PARADA: a TV SEM PULSO é ritmo chocável de PCR!!!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a TV sem pulso é ritmo de parada. A TV com pulso é tratada como taquicardia (estável ou instável), como o próprio resumo explica depois.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Atenção ⇾ contraindicada em IAM e insuficiência cardíaca.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Atenção ⇾ procainamida: evitar se QT longo ou IC; lidocaína: não usar como profilaxia no IAM.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contraindicação geral das duas no IAM e na IC: a AHA manda evitar a procainamida no QT longo e na IC; a lidocaína é até opção na TV isquêmica e na PCR (o resumo a cita na pág. 35). O que não se faz é lidocaína profilática no IAM. Também contradizia a frase anterior (</w:t>
            </w:r>
            <w:r>
              <w:t xml:space="preserve">“</w:t>
            </w:r>
            <w:r>
              <w:t xml:space="preserve">sem evidência de IC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Ocorre quando duas ou mais ondas P consecutivas são bloqueadas.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BAV avançado (alto grau): duas ou mais ondas P consecutivas bloqueadas (3:1, 4:1).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definição</w:t>
            </w:r>
            <w:r>
              <w:t xml:space="preserve"> </w:t>
            </w:r>
            <w:r>
              <w:t xml:space="preserve">“</w:t>
            </w:r>
            <w:r>
              <w:t xml:space="preserve">duas ou mais P seguidas bloqueadas</w:t>
            </w:r>
            <w:r>
              <w:t xml:space="preserve">”</w:t>
            </w:r>
            <w:r>
              <w:t xml:space="preserve"> </w:t>
            </w:r>
            <w:r>
              <w:t xml:space="preserve">é do BAV avançado/alto grau. No 2:1 só uma P de cada duas é bloqueada (a frase seguinte do resumo, que fica como está).</w:t>
            </w:r>
          </w:p>
        </w:tc>
      </w:tr>
    </w:tbl>
    <w:bookmarkEnd w:id="24"/>
    <w:bookmarkStart w:id="25" w:name="Xa1bfc572a4e0f71922c145ad39c843572f949ef"/>
    <w:p>
      <w:pPr>
        <w:pStyle w:val="Heading2"/>
      </w:pPr>
      <w:r>
        <w:t xml:space="preserve">8º sem D1 · NCS · Emergências obstétricas - eclâmpsia, HPP, DPP e comprometimento fetal persistente.pdf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Tardia &lt; 34 semanas):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Tardia (≥ 34 semanas):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 tardia = início com ≥ 34 semanas. Faltava também o</w:t>
            </w:r>
            <w:r>
              <w:t xml:space="preserve"> </w:t>
            </w:r>
            <w:r>
              <w:t xml:space="preserve">“</w:t>
            </w:r>
            <w:r>
              <w:t xml:space="preserve">(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 de ataque de 10 a 20 mg 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 de ataque de 10 mg 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FEBRASGO/MS: nifedipino 10 mg VO. Igual ao resumo de Crise hipertensiva.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repete-se 20 mg a cada 20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repete-se 10 mg a cada 20–30 minutos (máx. 30 mg)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FEBRASGO/MS: repetir 10 mg a cada 20–30 min, até 30 mg. Igual ao resumo de Crise hipertensiva.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acima DE 160/100mmHg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≥ 160/110 mmHg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limiar da hipertensão grave na gestação é 160/110 mmHg, como diz a frase de cima (</w:t>
            </w:r>
            <w:r>
              <w:t xml:space="preserve">“</w:t>
            </w:r>
            <w:r>
              <w:t xml:space="preserve">≥ 160 × 110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Atualmente não existe prevenção de pré-eclâmpsia segundo a Febrasgo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prevenção da pré-eclâmpsia (FEBRASGO e MS) é feita com AAS em baixa dose nas gestantes de 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FEBRASGO recomenda AAS para prevenção (o próprio resumo, pág. 12, traz o AAS da 12ª à 36ª semana). Dizer que</w:t>
            </w:r>
            <w:r>
              <w:t xml:space="preserve"> </w:t>
            </w:r>
            <w:r>
              <w:t xml:space="preserve">“</w:t>
            </w:r>
            <w:r>
              <w:t xml:space="preserve">não existe prevenção</w:t>
            </w:r>
            <w:r>
              <w:t xml:space="preserve">”</w:t>
            </w:r>
            <w:r>
              <w:t xml:space="preserve"> </w:t>
            </w:r>
            <w:r>
              <w:t xml:space="preserve">está errado.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febrasgo retirou após a revisão da Cochrane de 2025/26 mostrar que o cálcio tinha efeito nulo.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ao cálcio, ver a pág. 13.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Harmonizar: o cálcio é discutido em três lugares (págs. 9, 13 e 20) com versões diferentes. Deixar a explicação num lugar só (pág. 13).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37 semanas: Parto indicado.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a 37 semanas e ≥ 37 semanas: parto indicado (após estabilizar a mãe).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PE com sinais de gravidade, a FEBRASGO indica a interrupção a partir de 34 semanas. O texto pulava de</w:t>
            </w:r>
            <w:r>
              <w:t xml:space="preserve"> </w:t>
            </w:r>
            <w:r>
              <w:t xml:space="preserve">“</w:t>
            </w:r>
            <w:r>
              <w:t xml:space="preserve">24 a 34</w:t>
            </w:r>
            <w:r>
              <w:t xml:space="preserve">”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t xml:space="preserve">“</w:t>
            </w:r>
            <w:r>
              <w:t xml:space="preserve">≥ 37</w:t>
            </w:r>
            <w:r>
              <w:t xml:space="preserve">”</w:t>
            </w:r>
            <w:r>
              <w:t xml:space="preserve"> </w:t>
            </w:r>
            <w:r>
              <w:t xml:space="preserve">(a faixa 34–37 ficava sem conduta). 1ª ocorrência (a 2ª, na HELLP, sai abaixo).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 indicada até 2025, quando a revisão sistemática da Cochrane foi atualizada e o cálcio foi SUSPENSO - só se usa com indicação, mas o Ministério da Saúde ainda não se manifestou, somente a febrasgo tirou a suplementação.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indicada pelo MS nas gestantes com baixa ingestão de cálcio. [Laura: conferir a fonte da suspensão pela FEBRASGO antes de publicar; ver</w:t>
            </w:r>
            <w:r>
              <w:t xml:space="preserve"> </w:t>
            </w:r>
            <w:r>
              <w:t xml:space="preserve">“</w:t>
            </w:r>
            <w:r>
              <w:t xml:space="preserve">Conferidos</w:t>
            </w:r>
            <w:r>
              <w:t xml:space="preserve">”</w:t>
            </w:r>
            <w:r>
              <w:t xml:space="preserve">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encontrei protocolo da FEBRASGO que tenha suspendido o cálcio: o Protocolo de PE (2023) e o MS mantêm carbonato de cálcio 1–2 g/dia quando a ingestão é baixa. Se houver documento novo da FEBRASGO, manter a frase e citá-lo. Se o Ctrl+F não achar o trecho inteiro, procure</w:t>
            </w:r>
            <w:r>
              <w:t xml:space="preserve"> </w:t>
            </w:r>
            <w:r>
              <w:t xml:space="preserve">“</w:t>
            </w:r>
            <w:r>
              <w:t xml:space="preserve">era indicada até 2025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prescrição consistia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prescrição consiste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Acompanha a correção acima (a recomendação continua valendo).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de Parto: A escolha do método de parto é guiada por indicações obstétricas.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de Parto: guiada por indicações obstétricas; o parto vaginal é preferível se o colo for favorável. Se cesárea com plaquetas &lt; 50.000/mm³, transfundir plaquetas.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HELLP, o texto repetia a lista de idade gestacional da PE (24–34 conservadora; ≥ 37 parto), que contradiz o próprio resumo da HELLP (≥ 34 parto; &lt; 34 conservadora só por exceção).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23/24 semanas (limite de viabilidade): Devido às altíssimas taxas de mortalidade perinatal e materna, recomenda-se a resolução da gestação.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(apagar)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2ª ocorrência (na HELLP). Repetição do texto da 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a 34 semanas: Conduta conservadora em ambiente hospitalar especializado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(apagar o item inteiro, até</w:t>
            </w:r>
            <w:r>
              <w:t xml:space="preserve"> </w:t>
            </w:r>
            <w:r>
              <w:t xml:space="preserve">“</w:t>
            </w:r>
            <w:r>
              <w:t xml:space="preserve">maturação pulmonar fetal.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2ª ocorrência (na HELLP). Contradiz o</w:t>
            </w:r>
            <w:r>
              <w:t xml:space="preserve"> </w:t>
            </w:r>
            <w:r>
              <w:t xml:space="preserve">“</w:t>
            </w:r>
            <w:r>
              <w:t xml:space="preserve">&lt; 34 semanas: conservadora é de exceção</w:t>
            </w:r>
            <w:r>
              <w:t xml:space="preserve">”</w:t>
            </w:r>
            <w:r>
              <w:t xml:space="preserve"> </w:t>
            </w:r>
            <w:r>
              <w:t xml:space="preserve">da mesma página.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37 semanas: Parto indicado.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(apagar)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2ª ocorrência (na HELLP). Na HELLP o parto está indicado a partir de 34 semanas, como a própria página já diz.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associado à suplementação de cálcio.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associado ao cálcio se a ingestão for baixa (ver pág. 13).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Harmonizar com a pág. 13 (antes, uma página dizia</w:t>
            </w:r>
            <w:r>
              <w:t xml:space="preserve"> </w:t>
            </w:r>
            <w:r>
              <w:t xml:space="preserve">“</w:t>
            </w:r>
            <w:r>
              <w:t xml:space="preserve">suspenso</w:t>
            </w:r>
            <w:r>
              <w:t xml:space="preserve">”</w:t>
            </w:r>
            <w:r>
              <w:t xml:space="preserve"> </w:t>
            </w:r>
            <w:r>
              <w:t xml:space="preserve">e outra mandava prescrever).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misoprostol retal na dose de 600 mcg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misoprostol 800 mcg via retal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 (Zero Morte Materna por Hemorragia) e FEBRASGO: tratamento da HPP com misoprostol 800 mcg via retal.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Administrar 800 mcg por via sublingual (SL) ou 600 mcg por via retal.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Administrar 800 mcg por via retal (ou sublingual).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 dose de tratamento (800 mcg) em qualquer via; 600 mcg é a dose de profilaxia (pág. 25, fica como está).</w:t>
            </w:r>
          </w:p>
        </w:tc>
      </w:tr>
    </w:tbl>
    <w:bookmarkEnd w:id="25"/>
    <w:bookmarkStart w:id="26" w:name="º-sem-d1-ncs-crise-hipertensiva.pdf"/>
    <w:p>
      <w:pPr>
        <w:pStyle w:val="Heading2"/>
      </w:pPr>
      <w:r>
        <w:t xml:space="preserve">8º sem D1 · NCS · Crise hipertensiva.pdf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COMOVE GANHA MOVE (Monitorização, oxigênio, veia e ECG/Exames)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Mnemônico MOVE: Monitorização, Oxigênio, Veia e ECG/Exames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solta, sem sentido no texto. Fica só o mnemônico.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repetindo 10–20 mg a cada 20–30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repetindo 10 mg a cada 20–30 min (máx. 30 mg)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FEBRASGO/MS: 10 mg VO a cada 20–30 min, até 30 mg. Agora igual ao resumo de Emergências obstétricas.</w:t>
            </w:r>
          </w:p>
        </w:tc>
      </w:tr>
    </w:tbl>
    <w:bookmarkEnd w:id="26"/>
    <w:bookmarkStart w:id="27" w:name="X7afe6833bf6dc2acb58dfcd60f2fe021a61be0e"/>
    <w:p>
      <w:pPr>
        <w:pStyle w:val="Heading2"/>
      </w:pPr>
      <w:r>
        <w:t xml:space="preserve">8º sem D1 · NCS · Síndrome coronariana aguda.pdf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mastigado + inibidor de P2Y12 (ticagrelor/prasugrel preferíveis se ICP).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mastigado.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mnemônico MONABCH o P2Y12 é o</w:t>
            </w:r>
            <w:r>
              <w:t xml:space="preserve"> </w:t>
            </w:r>
            <w:r>
              <w:t xml:space="preserve">“</w:t>
            </w:r>
            <w:r>
              <w:t xml:space="preserve">C</w:t>
            </w:r>
            <w:r>
              <w:t xml:space="preserve">”</w:t>
            </w:r>
            <w:r>
              <w:t xml:space="preserve">. Ele estava no</w:t>
            </w:r>
            <w:r>
              <w:t xml:space="preserve"> </w:t>
            </w:r>
            <w:r>
              <w:t xml:space="preserve">“</w:t>
            </w:r>
            <w:r>
              <w:t xml:space="preserve">A</w:t>
            </w:r>
            <w:r>
              <w:t xml:space="preserve">”</w:t>
            </w:r>
            <w:r>
              <w:t xml:space="preserve"> </w:t>
            </w:r>
            <w:r>
              <w:t xml:space="preserve">e no</w:t>
            </w:r>
            <w:r>
              <w:t xml:space="preserve"> </w:t>
            </w:r>
            <w:r>
              <w:t xml:space="preserve">“</w:t>
            </w:r>
            <w:r>
              <w:t xml:space="preserve">C</w:t>
            </w:r>
            <w:r>
              <w:t xml:space="preserve">”</w:t>
            </w:r>
            <w:r>
              <w:t xml:space="preserve">. O</w:t>
            </w:r>
            <w:r>
              <w:t xml:space="preserve"> </w:t>
            </w:r>
            <w:r>
              <w:t xml:space="preserve">“</w:t>
            </w:r>
            <w:r>
              <w:t xml:space="preserve">A</w:t>
            </w:r>
            <w:r>
              <w:t xml:space="preserve">”</w:t>
            </w:r>
            <w:r>
              <w:t xml:space="preserve"> </w:t>
            </w:r>
            <w:r>
              <w:t xml:space="preserve">fica só</w:t>
            </w:r>
            <w:r>
              <w:t xml:space="preserve"> </w:t>
            </w:r>
            <w:r>
              <w:t xml:space="preserve">“</w:t>
            </w:r>
            <w:r>
              <w:t xml:space="preserve">AAS 162–325 mg VO mastigado.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lopidocrel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 lopidogrel ou outro inibidor de P2Y12 (ticagrelor/prasugrel preferíveis se ICP).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Recebe o P2Y12 que saiu do</w:t>
            </w:r>
            <w:r>
              <w:t xml:space="preserve"> </w:t>
            </w:r>
            <w:r>
              <w:t xml:space="preserve">“</w:t>
            </w:r>
            <w:r>
              <w:t xml:space="preserve">A</w:t>
            </w:r>
            <w:r>
              <w:t xml:space="preserve">”</w:t>
            </w:r>
            <w:r>
              <w:t xml:space="preserve"> </w:t>
            </w:r>
            <w:r>
              <w:t xml:space="preserve">e corrige</w:t>
            </w:r>
            <w:r>
              <w:t xml:space="preserve"> </w:t>
            </w:r>
            <w:r>
              <w:t xml:space="preserve">“</w:t>
            </w:r>
            <w:r>
              <w:t xml:space="preserve">clopidocrel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 statina de alta intensidade + IECA/BRA se alto risco.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 statina de alta intensidade.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IECA/BRA já é o</w:t>
            </w:r>
            <w:r>
              <w:t xml:space="preserve"> </w:t>
            </w:r>
            <w:r>
              <w:t xml:space="preserve">“</w:t>
            </w:r>
            <w:r>
              <w:t xml:space="preserve">I</w:t>
            </w:r>
            <w:r>
              <w:t xml:space="preserve">”</w:t>
            </w:r>
            <w:r>
              <w:t xml:space="preserve"> </w:t>
            </w:r>
            <w:r>
              <w:t xml:space="preserve">logo abaixo (estava repetido).</w:t>
            </w:r>
          </w:p>
        </w:tc>
      </w:tr>
    </w:tbl>
    <w:bookmarkEnd w:id="27"/>
    <w:bookmarkStart w:id="28" w:name="º-sem-d1-pmsus-obesidade---oficina-1.pdf"/>
    <w:p>
      <w:pPr>
        <w:pStyle w:val="Heading2"/>
      </w:pPr>
      <w:r>
        <w:t xml:space="preserve">8º sem D1 · PMSUS · Obesidade - oficina 1.pdf</w:t>
      </w:r>
    </w:p>
    <w:p>
      <w:pPr>
        <w:pStyle w:val="FirstParagraph"/>
      </w:pPr>
      <w:r>
        <w:t xml:space="preserve">Não é erro. Nota opcional de fonte, para o aluno não achar que contradiz o resumo de TOCE · Obesidade.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Adaptado de: Brasil. Linha de Cuidado da Obesidade no Adulto – Encaminhamento, 2020.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Adaptado de: Brasil. Linha de Cuidado da Obesidade no Adulto – Encaminhamento, 2020. São os critérios de encaminhamento no SUS; a indicação cirúrgica em si (IMC ≥ 40, ≥ 35 ou ≥ 30 com comorbidades) segue o CFM e está no resumo de TOCE.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faixas 50/40/35 são do fluxo do SUS e as faixas 40/35/30 são da indicação cirúrgica (CFM), que estão no resumo de TOCE. A nota deixa as duas fontes claras.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(SBD; SBC, 2019).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(SBD; SBC, 2019). As metas de LDL-c da SBC 2025 estão no resumo de Dislipidemia.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metas de LDL desta tabela são de 2019 (baixo &lt; 130); a SBC 2025 usa outras (baixo &lt; 115, extremo &lt; 40). Não é erro: é outra fonte.</w:t>
            </w:r>
          </w:p>
        </w:tc>
      </w:tr>
    </w:tbl>
    <w:bookmarkEnd w:id="28"/>
    <w:bookmarkStart w:id="29" w:name="conferidos-e-mantidos"/>
    <w:p>
      <w:pPr>
        <w:pStyle w:val="Heading2"/>
      </w:pPr>
      <w:r>
        <w:t xml:space="preserve">Conferidos e mantidos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ACLS · SpO₂ 90–98%, temperatura 32–37,5 °C por ≥ 36 h, PAM ≥ 65 (Tabela 8 e Oxigenioterapia):</w:t>
      </w:r>
      <w:r>
        <w:t xml:space="preserve"> </w:t>
      </w:r>
      <w:r>
        <w:t xml:space="preserve">manter. Batem com a AHA 2025. A unificação foi feita no resumo de RPC, que usava valores antigos ou de outra fonte (92–98%; 36–37,4 °C por 24 h).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Valores pós-PCR, resumo final (AHA 2025, usar nos dois resumos):</w:t>
      </w:r>
      <w:r>
        <w:t xml:space="preserve"> </w:t>
      </w:r>
      <w:r>
        <w:t xml:space="preserve">SpO₂ 90–98%; PaCO₂ 35–45; PAM ≥ 65 (PAS ≥ 90); temperatura 32–37,5 °C por ≥ 36 h, sem febre; glicemia evitando &lt; 70 e &gt; 180 (alvo usual 140–180); RCE no ETCO₂ = subida abrupta e sustentada, em geral para ≥ 40 mmHg (ETCO₂ &lt; 10 = RCP ruim).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RPC em ritmos chocáveis · epinefrina após o 2º choque e amiodarona/lidocaína após o 3º:</w:t>
      </w:r>
      <w:r>
        <w:t xml:space="preserve"> </w:t>
      </w:r>
      <w:r>
        <w:t xml:space="preserve">manter (AHA).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D2 NCS SP 2.1 Diabetes Mellitus (revisado 20-10-2026) · Tabela 18:</w:t>
      </w:r>
      <w:r>
        <w:t xml:space="preserve"> </w:t>
      </w:r>
      <w:r>
        <w:t xml:space="preserve">manter. No .docx a tabela está certa (tirzepatida:</w:t>
      </w:r>
      <w:r>
        <w:t xml:space="preserve"> </w:t>
      </w:r>
      <w:r>
        <w:t xml:space="preserve">“</w:t>
      </w:r>
      <w:r>
        <w:t xml:space="preserve">Agonismo duplo GLP-1 e GIP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↓ HbA1c &gt; 2%, perda de peso acentuada</w:t>
      </w:r>
      <w:r>
        <w:t xml:space="preserve">”</w:t>
      </w:r>
      <w:r>
        <w:t xml:space="preserve">; iDPP-4:</w:t>
      </w:r>
      <w:r>
        <w:t xml:space="preserve"> </w:t>
      </w:r>
      <w:r>
        <w:t xml:space="preserve">“</w:t>
      </w:r>
      <w:r>
        <w:t xml:space="preserve">↑ GLP-1 endógeno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↓ HbA1c 0,6–0,8%, peso neutro</w:t>
      </w:r>
      <w:r>
        <w:t xml:space="preserve">”</w:t>
      </w:r>
      <w:r>
        <w:t xml:space="preserve">). A</w:t>
      </w:r>
      <w:r>
        <w:t xml:space="preserve"> </w:t>
      </w:r>
      <w:r>
        <w:t xml:space="preserve">“</w:t>
      </w:r>
      <w:r>
        <w:t xml:space="preserve">troca</w:t>
      </w:r>
      <w:r>
        <w:t xml:space="preserve">”</w:t>
      </w:r>
      <w:r>
        <w:t xml:space="preserve"> </w:t>
      </w:r>
      <w:r>
        <w:t xml:space="preserve">vinha da leitura do texto do PDF, que embaralha as células da tabela (o mesmo acontece em todas as linhas, até na metformina). Vale só olhar a pág. 25 do PDF na tela para confirmar.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D2 NCS Emergências no diabetes · hipoglicemia nível 2 com 30 g (PCDT) × 15 g (ADA):</w:t>
      </w:r>
      <w:r>
        <w:t xml:space="preserve"> </w:t>
      </w:r>
      <w:r>
        <w:t xml:space="preserve">manter. Está explícito: Tabela 17 (</w:t>
      </w:r>
      <w:r>
        <w:t xml:space="preserve">“</w:t>
      </w:r>
      <w:r>
        <w:t xml:space="preserve">Nível 2 (&lt; 54), consciente 30 g</w:t>
      </w:r>
      <w:r>
        <w:t xml:space="preserve">”</w:t>
      </w:r>
      <w:r>
        <w:t xml:space="preserve">) e Quadro 6 (PCDT 30 g × ADA 15 g,</w:t>
      </w:r>
      <w:r>
        <w:t xml:space="preserve"> </w:t>
      </w:r>
      <w:r>
        <w:t xml:space="preserve">“</w:t>
      </w:r>
      <w:r>
        <w:t xml:space="preserve">mesma regra para nível 1 e 2</w:t>
      </w:r>
      <w:r>
        <w:t xml:space="preserve">”</w:t>
      </w:r>
      <w:r>
        <w:t xml:space="preserve">). Não é erro, é divergência de fonte já explicada.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Emergências obstétricas · misoprostol 600 mcg SL na profilaxia (pág. 25):</w:t>
      </w:r>
      <w:r>
        <w:t xml:space="preserve"> </w:t>
      </w:r>
      <w:r>
        <w:t xml:space="preserve">manter. Na profilaxia (sem ocitocina), 600 mcg é a dose da OMS. Só a dose de tratamento foi unificada em 800 mcg.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Emergências obstétricas · cálcio:</w:t>
      </w:r>
      <w:r>
        <w:t xml:space="preserve"> </w:t>
      </w:r>
      <w:r>
        <w:t xml:space="preserve">a frase</w:t>
      </w:r>
      <w:r>
        <w:t xml:space="preserve"> </w:t>
      </w:r>
      <w:r>
        <w:t xml:space="preserve">“</w:t>
      </w:r>
      <w:r>
        <w:t xml:space="preserve">a FEBRASGO suspendeu o cálcio após a Cochrane 2025/26</w:t>
      </w:r>
      <w:r>
        <w:t xml:space="preserve">”</w:t>
      </w:r>
      <w:r>
        <w:t xml:space="preserve"> </w:t>
      </w:r>
      <w:r>
        <w:t xml:space="preserve">não pôde ser confirmada (o Protocolo FEBRASGO de PE de 2023 e o MS mantêm 1–2 g/dia quando a ingestão é baixa). A errata deixa o texto neutro e concentra o assunto na pág. 13. Se a Laura tiver o documento novo da FEBRASGO, basta citá-lo na pág. 13 e manter</w:t>
      </w:r>
      <w:r>
        <w:t xml:space="preserve"> </w:t>
      </w:r>
      <w:r>
        <w:t xml:space="preserve">“</w:t>
      </w:r>
      <w:r>
        <w:t xml:space="preserve">MS mantém; FEBRASGO suspendeu (ano)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Obesidade PMSUS × TOCE (bariátrica 50/40/35 × 40/35/30 e metas de LDL):</w:t>
      </w:r>
      <w:r>
        <w:t xml:space="preserve"> </w:t>
      </w:r>
      <w:r>
        <w:t xml:space="preserve">não é erro, são fontes diferentes (Linha de Cuidado do SUS 2020 × CFM; SBC 2019 × SBC 2025). Só a nota opcional acima.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HMEC SCA ·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(SEM MEDICAÇÃO)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no fluxograma da seção 5:</w:t>
      </w:r>
      <w:r>
        <w:t xml:space="preserve"> </w:t>
      </w:r>
      <w:r>
        <w:t xml:space="preserve">manter. Aquele fluxograma de fato não tem remédio; só o título geral do resumo foi corrigido.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2026-10-22T03:06:18Z</dcterms:created>
  <dcterms:modified xsi:type="dcterms:W3CDTF">2026-10-22T03:06:18Z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