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41915E" w14:textId="77777777" w:rsidR="002E369D" w:rsidRDefault="00A87142">
      <w:pPr>
        <w:spacing w:before="600" w:after="200" w:line="240" w:lineRule="auto"/>
        <w:jc w:val="center"/>
      </w:pPr>
      <w:r>
        <w:rPr>
          <w:noProof/>
        </w:rPr>
        <w:drawing>
          <wp:inline distT="0" distB="0" distL="0" distR="0" wp14:anchorId="1BB2974A" wp14:editId="2D62A390">
            <wp:extent cx="1512000" cy="10276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02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92DF" w14:textId="77777777" w:rsidR="002E369D" w:rsidRDefault="00A87142">
      <w:pPr>
        <w:spacing w:after="700" w:line="240" w:lineRule="auto"/>
        <w:jc w:val="center"/>
      </w:pPr>
      <w:r>
        <w:rPr>
          <w:i/>
          <w:color w:val="595959"/>
          <w:sz w:val="20"/>
        </w:rPr>
        <w:t>By Laura Nunes</w:t>
      </w:r>
    </w:p>
    <w:tbl>
      <w:tblPr>
        <w:tblW w:w="9900" w:type="dxa"/>
        <w:jc w:val="center"/>
        <w:tblLayout w:type="fixed"/>
        <w:tblLook w:val="04A0" w:firstRow="1" w:lastRow="0" w:firstColumn="1" w:lastColumn="0" w:noHBand="0" w:noVBand="1"/>
      </w:tblPr>
      <w:tblGrid>
        <w:gridCol w:w="9900"/>
      </w:tblGrid>
      <w:tr w:rsidR="002E369D" w14:paraId="2A5EB170" w14:textId="77777777">
        <w:trPr>
          <w:jc w:val="center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1E79590B" w14:textId="77777777" w:rsidR="002E369D" w:rsidRDefault="00A87142">
            <w:pPr>
              <w:spacing w:after="120"/>
              <w:jc w:val="center"/>
            </w:pPr>
            <w:r>
              <w:rPr>
                <w:rFonts w:ascii="Cinzel Decorative Bold" w:hAnsi="Cinzel Decorative Bold"/>
                <w:color w:val="FFFFFF"/>
                <w:sz w:val="60"/>
              </w:rPr>
              <w:t>Doença Falciforme e Anemias Hemolíticas</w:t>
            </w:r>
          </w:p>
          <w:p w14:paraId="3059C148" w14:textId="77777777" w:rsidR="002E369D" w:rsidRPr="00217E82" w:rsidRDefault="00A87142">
            <w:pPr>
              <w:spacing w:after="80"/>
              <w:jc w:val="center"/>
              <w:rPr>
                <w:b/>
                <w:bCs/>
              </w:rPr>
            </w:pPr>
            <w:r w:rsidRPr="00217E82">
              <w:rPr>
                <w:b/>
                <w:bCs/>
                <w:color w:val="FFFFFF"/>
                <w:sz w:val="28"/>
              </w:rPr>
              <w:t>Hemólise, hemoglobinopatias, membranopatias, enzimopatias e anemias hemolíticas adquiridas</w:t>
            </w:r>
          </w:p>
          <w:p w14:paraId="7E58A92A" w14:textId="77777777" w:rsidR="002E369D" w:rsidRDefault="00A87142">
            <w:pPr>
              <w:jc w:val="center"/>
            </w:pPr>
            <w:r w:rsidRPr="00217E82">
              <w:rPr>
                <w:b/>
                <w:bCs/>
                <w:i/>
                <w:color w:val="F3D9DD"/>
                <w:sz w:val="16"/>
              </w:rPr>
              <w:t>6º semestre · D2 · NCS · SP 2.3 · Ministério da Saúde (manual de condutas e PCDT da doença falciforme), ASH, TIF e Harrison</w:t>
            </w:r>
          </w:p>
        </w:tc>
      </w:tr>
    </w:tbl>
    <w:p w14:paraId="0DC9CEDC" w14:textId="77777777" w:rsidR="002E369D" w:rsidRDefault="002E369D">
      <w:pPr>
        <w:spacing w:after="400" w:line="240" w:lineRule="auto"/>
        <w:jc w:val="center"/>
      </w:pPr>
    </w:p>
    <w:tbl>
      <w:tblPr>
        <w:tblW w:w="9900" w:type="dxa"/>
        <w:jc w:val="center"/>
        <w:tblLayout w:type="fixed"/>
        <w:tblLook w:val="04A0" w:firstRow="1" w:lastRow="0" w:firstColumn="1" w:lastColumn="0" w:noHBand="0" w:noVBand="1"/>
      </w:tblPr>
      <w:tblGrid>
        <w:gridCol w:w="4950"/>
        <w:gridCol w:w="4950"/>
      </w:tblGrid>
      <w:tr w:rsidR="002E369D" w14:paraId="33CDE5C7" w14:textId="77777777">
        <w:trPr>
          <w:jc w:val="center"/>
        </w:trPr>
        <w:tc>
          <w:tcPr>
            <w:tcW w:w="495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8EDE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211981B" w14:textId="77777777" w:rsidR="002E369D" w:rsidRDefault="00A87142">
            <w:pPr>
              <w:spacing w:after="20"/>
            </w:pPr>
            <w:r>
              <w:rPr>
                <w:b/>
                <w:caps/>
                <w:color w:val="D7A437"/>
                <w:sz w:val="18"/>
              </w:rPr>
              <w:t>Capítulo 1</w:t>
            </w:r>
          </w:p>
          <w:p w14:paraId="4804F08A" w14:textId="77777777" w:rsidR="002E369D" w:rsidRDefault="00A87142">
            <w:pPr>
              <w:spacing w:after="0"/>
              <w:jc w:val="left"/>
            </w:pPr>
            <w:r>
              <w:rPr>
                <w:b/>
                <w:color w:val="921827"/>
                <w:sz w:val="22"/>
              </w:rPr>
              <w:t>Fundamentos da Hemólise</w:t>
            </w:r>
          </w:p>
        </w:tc>
        <w:tc>
          <w:tcPr>
            <w:tcW w:w="495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8EDE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08CC8D6" w14:textId="77777777" w:rsidR="002E369D" w:rsidRDefault="00A87142">
            <w:pPr>
              <w:spacing w:after="20"/>
            </w:pPr>
            <w:r>
              <w:rPr>
                <w:b/>
                <w:caps/>
                <w:color w:val="D7A437"/>
                <w:sz w:val="18"/>
              </w:rPr>
              <w:t>Capítulo 2</w:t>
            </w:r>
          </w:p>
          <w:p w14:paraId="34016008" w14:textId="77777777" w:rsidR="002E369D" w:rsidRDefault="00A87142">
            <w:pPr>
              <w:spacing w:after="0"/>
              <w:jc w:val="left"/>
            </w:pPr>
            <w:r>
              <w:rPr>
                <w:b/>
                <w:color w:val="921827"/>
                <w:sz w:val="22"/>
              </w:rPr>
              <w:t>Doença Falciforme</w:t>
            </w:r>
          </w:p>
        </w:tc>
      </w:tr>
      <w:tr w:rsidR="002E369D" w14:paraId="591C6F9D" w14:textId="77777777">
        <w:trPr>
          <w:jc w:val="center"/>
        </w:trPr>
        <w:tc>
          <w:tcPr>
            <w:tcW w:w="495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CF4E495" w14:textId="77777777" w:rsidR="002E369D" w:rsidRDefault="00A87142">
            <w:pPr>
              <w:spacing w:after="20"/>
            </w:pPr>
            <w:r>
              <w:rPr>
                <w:b/>
                <w:caps/>
                <w:color w:val="D7A437"/>
                <w:sz w:val="18"/>
              </w:rPr>
              <w:t>Capítulo 3</w:t>
            </w:r>
          </w:p>
          <w:p w14:paraId="59F23627" w14:textId="77777777" w:rsidR="002E369D" w:rsidRDefault="00A87142">
            <w:pPr>
              <w:spacing w:after="0"/>
              <w:jc w:val="left"/>
            </w:pPr>
            <w:r>
              <w:rPr>
                <w:b/>
                <w:color w:val="921827"/>
                <w:sz w:val="22"/>
              </w:rPr>
              <w:t>Talassemias</w:t>
            </w:r>
          </w:p>
        </w:tc>
        <w:tc>
          <w:tcPr>
            <w:tcW w:w="495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C146EBA" w14:textId="77777777" w:rsidR="002E369D" w:rsidRDefault="00A87142">
            <w:pPr>
              <w:spacing w:after="20"/>
            </w:pPr>
            <w:r>
              <w:rPr>
                <w:b/>
                <w:caps/>
                <w:color w:val="D7A437"/>
                <w:sz w:val="18"/>
              </w:rPr>
              <w:t>Capítulo 4</w:t>
            </w:r>
          </w:p>
          <w:p w14:paraId="76E8B95F" w14:textId="77777777" w:rsidR="002E369D" w:rsidRDefault="00A87142">
            <w:pPr>
              <w:spacing w:after="0"/>
              <w:jc w:val="left"/>
            </w:pPr>
            <w:r>
              <w:rPr>
                <w:b/>
                <w:color w:val="921827"/>
                <w:sz w:val="22"/>
              </w:rPr>
              <w:t>Membranopatias e Enzimopatias</w:t>
            </w:r>
          </w:p>
        </w:tc>
      </w:tr>
      <w:tr w:rsidR="002E369D" w14:paraId="1D07256A" w14:textId="77777777">
        <w:trPr>
          <w:jc w:val="center"/>
        </w:trPr>
        <w:tc>
          <w:tcPr>
            <w:tcW w:w="495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8EDE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2F2CED9" w14:textId="77777777" w:rsidR="002E369D" w:rsidRDefault="00A87142">
            <w:pPr>
              <w:spacing w:after="20"/>
            </w:pPr>
            <w:r>
              <w:rPr>
                <w:b/>
                <w:caps/>
                <w:color w:val="D7A437"/>
                <w:sz w:val="18"/>
              </w:rPr>
              <w:t>Capítulo 5</w:t>
            </w:r>
          </w:p>
          <w:p w14:paraId="27F63B7E" w14:textId="77777777" w:rsidR="002E369D" w:rsidRDefault="00A87142">
            <w:pPr>
              <w:spacing w:after="0"/>
              <w:jc w:val="left"/>
            </w:pPr>
            <w:r>
              <w:rPr>
                <w:b/>
                <w:color w:val="921827"/>
                <w:sz w:val="22"/>
              </w:rPr>
              <w:t>Anemias Hemolíticas Adquiridas</w:t>
            </w:r>
          </w:p>
        </w:tc>
        <w:tc>
          <w:tcPr>
            <w:tcW w:w="495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8EDE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C551064" w14:textId="77777777" w:rsidR="002E369D" w:rsidRDefault="00A87142">
            <w:pPr>
              <w:spacing w:after="20"/>
            </w:pPr>
            <w:r>
              <w:rPr>
                <w:b/>
                <w:caps/>
                <w:color w:val="D7A437"/>
                <w:sz w:val="18"/>
              </w:rPr>
              <w:t/>
            </w:r>
          </w:p>
          <w:p w14:paraId="566287F8" w14:textId="77777777" w:rsidR="002E369D" w:rsidRDefault="00A87142">
            <w:pPr>
              <w:spacing w:after="0"/>
              <w:jc w:val="left"/>
            </w:pPr>
            <w:r>
              <w:rPr>
                <w:b/>
                <w:color w:val="921827"/>
                <w:sz w:val="22"/>
              </w:rPr>
              <w:t/>
            </w:r>
          </w:p>
        </w:tc>
      </w:tr>
    </w:tbl>
    <w:p w14:paraId="36811413" w14:textId="77777777" w:rsidR="002E369D" w:rsidRDefault="00A87142">
      <w:pPr>
        <w:spacing w:before="700" w:after="0" w:line="240" w:lineRule="auto"/>
        <w:jc w:val="center"/>
      </w:pPr>
      <w:r>
        <w:rPr>
          <w:rFonts w:ascii="Cinzel Decorative Bold" w:hAnsi="Cinzel Decorative Bold"/>
          <w:b/>
          <w:color w:val="921827"/>
        </w:rPr>
        <w:t>MedSum</w:t>
      </w:r>
    </w:p>
    <w:p w14:paraId="10EBF625" w14:textId="77777777" w:rsidR="002E369D" w:rsidRDefault="00A87142">
      <w:pPr>
        <w:spacing w:before="40" w:after="0" w:line="240" w:lineRule="auto"/>
        <w:jc w:val="center"/>
      </w:pPr>
      <w:r>
        <w:rPr>
          <w:color w:val="595959"/>
          <w:sz w:val="19"/>
        </w:rPr>
        <w:t xml:space="preserve">Medicina · 2026.2</w:t>
      </w:r>
      <w:r>
        <w:br w:type="page"/>
      </w:r>
    </w:p>
    <w:p w14:paraId="474EA9BB" w14:textId="77777777" w:rsidR="002E369D" w:rsidRDefault="00A87142">
      <w:pPr>
        <w:spacing w:after="200" w:line="240" w:lineRule="auto"/>
        <w:jc w:val="left"/>
      </w:pPr>
      <w:r>
        <w:rPr>
          <w:rFonts w:ascii="Cinzel Decorative Bold" w:hAnsi="Cinzel Decorative Bold"/>
          <w:b/>
          <w:color w:val="921827"/>
          <w:sz w:val="44"/>
        </w:rPr>
        <w:lastRenderedPageBreak/>
        <w:t>Sumário</w:t>
      </w:r>
    </w:p>
    <w:p w14:paraId="297090E1" w14:textId="77777777" w:rsidR="00045C66" w:rsidRDefault="00045C66">
      <w:pPr>
        <w:pStyle w:val="Sumrio3"/>
        <w:tabs>
          <w:tab w:val="right" w:leader="dot" w:pos="9968"/>
        </w:tabs>
        <w:rPr>
          <w:rFonts w:asciiTheme="majorHAnsi" w:hAnsiTheme="majorHAnsi"/>
          <w:b/>
          <w:bCs/>
          <w:caps/>
          <w:sz w:val="24"/>
          <w:szCs w:val="24"/>
        </w:rPr>
        <w:sectPr w:rsidR="00045C66" w:rsidSect="00422A1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964" w:right="964" w:bottom="964" w:left="964" w:header="794" w:footer="227" w:gutter="0"/>
          <w:cols w:space="340"/>
          <w:titlePg/>
          <w:docGrid w:linePitch="360"/>
        </w:sectPr>
      </w:pPr>
    </w:p>
    <w:p w14:paraId="2C802506" w14:textId="020047AA" w:rsidR="00045C66" w:rsidRDefault="00A87142">
      <w:pPr>
        <w:pStyle w:val="Sumrio3"/>
        <w:tabs>
          <w:tab w:val="right" w:leader="dot" w:pos="9968"/>
        </w:tabs>
        <w:rPr>
          <w:rFonts w:eastAsiaTheme="minorEastAsia" w:cstheme="minorBidi"/>
          <w:noProof/>
          <w:sz w:val="24"/>
          <w:szCs w:val="24"/>
          <w:lang w:eastAsia="pt-BR"/>
        </w:rPr>
      </w:pPr>
      <w:r>
        <w:rPr>
          <w:rFonts w:asciiTheme="majorHAnsi" w:hAnsiTheme="majorHAnsi"/>
          <w:b/>
          <w:bCs/>
          <w:caps/>
          <w:sz w:val="24"/>
          <w:szCs w:val="24"/>
        </w:rPr>
        <w:fldChar w:fldCharType="begin"/>
      </w:r>
      <w:r>
        <w:instrText xml:space="preserve"> TOC \o "3-4" \h \z \u </w:instrText>
      </w:r>
      <w:r>
        <w:rPr>
          <w:rFonts w:asciiTheme="majorHAnsi" w:hAnsiTheme="majorHAnsi"/>
          <w:b/>
          <w:bCs/>
          <w:caps/>
          <w:sz w:val="24"/>
          <w:szCs w:val="24"/>
        </w:rPr>
        <w:fldChar w:fldCharType="separate"/>
      </w:r>
      <w:hyperlink w:anchor="_Toc241661527" w:history="1">
        <w:r w:rsidR="00045C66" w:rsidRPr="00D150CF">
          <w:rPr>
            <w:rStyle w:val="Hyperlink"/>
            <w:noProof/>
          </w:rPr>
          <w:t>Anemia hemolítica</w:t>
        </w:r>
        <w:r w:rsidR="00045C66">
          <w:rPr>
            <w:noProof/>
            <w:webHidden/>
          </w:rPr>
          <w:tab/>
        </w:r>
        <w:r w:rsidR="00045C66">
          <w:rPr>
            <w:noProof/>
            <w:webHidden/>
          </w:rPr>
          <w:fldChar w:fldCharType="begin"/>
        </w:r>
        <w:r w:rsidR="00045C66">
          <w:rPr>
            <w:noProof/>
            <w:webHidden/>
          </w:rPr>
          <w:instrText xml:space="preserve"> PAGEREF _Toc241661527 \h </w:instrText>
        </w:r>
        <w:r w:rsidR="00045C66">
          <w:rPr>
            <w:noProof/>
            <w:webHidden/>
          </w:rPr>
        </w:r>
        <w:r w:rsidR="00045C66">
          <w:rPr>
            <w:noProof/>
            <w:webHidden/>
          </w:rPr>
          <w:fldChar w:fldCharType="separate"/>
        </w:r>
        <w:r w:rsidR="00045C66">
          <w:rPr>
            <w:noProof/>
            <w:webHidden/>
          </w:rPr>
          <w:t>3</w:t>
        </w:r>
        <w:r w:rsidR="00045C66">
          <w:rPr>
            <w:noProof/>
            <w:webHidden/>
          </w:rPr>
          <w:fldChar w:fldCharType="end"/>
        </w:r>
      </w:hyperlink>
    </w:p>
    <w:p>
      <w:pPr>
        <w:pStyle w:val="Sumrio4"/>
        <w:tabs>
          <w:tab w:val="right" w:leader="dot" w:pos="9968"/>
        </w:tabs>
      </w:pPr>
      <w:r>
        <w:rPr/>
        <w:t xml:space="preserve">Definição</w:t>
      </w:r>
      <w:r>
        <w:tab/>
      </w:r>
      <w:r>
        <w:t>3</w:t>
      </w:r>
    </w:p>
    <w:p>
      <w:pPr>
        <w:pStyle w:val="Sumrio4"/>
        <w:tabs>
          <w:tab w:val="right" w:leader="dot" w:pos="9968"/>
        </w:tabs>
      </w:pPr>
      <w:r>
        <w:rPr/>
        <w:t xml:space="preserve">Classificação</w:t>
      </w:r>
      <w:r>
        <w:tab/>
      </w:r>
      <w:r>
        <w:t>3</w:t>
      </w:r>
    </w:p>
    <w:p>
      <w:pPr>
        <w:pStyle w:val="Sumrio4"/>
        <w:tabs>
          <w:tab w:val="right" w:leader="dot" w:pos="9968"/>
        </w:tabs>
      </w:pPr>
      <w:r>
        <w:rPr/>
        <w:t xml:space="preserve">Hemólise intravascular × extravascular</w:t>
      </w:r>
      <w:r>
        <w:tab/>
      </w:r>
      <w:r>
        <w:t>3</w:t>
      </w:r>
    </w:p>
    <w:p>
      <w:pPr>
        <w:pStyle w:val="Sumrio4"/>
        <w:tabs>
          <w:tab w:val="right" w:leader="dot" w:pos="9968"/>
        </w:tabs>
      </w:pPr>
      <w:r>
        <w:rPr/>
        <w:t xml:space="preserve">Laboratório da hemólise</w:t>
      </w:r>
      <w:r>
        <w:tab/>
      </w:r>
      <w:r>
        <w:t>4</w:t>
      </w:r>
    </w:p>
    <w:p>
      <w:pPr>
        <w:pStyle w:val="Sumrio3"/>
        <w:tabs>
          <w:tab w:val="right" w:leader="dot" w:pos="9968"/>
        </w:tabs>
      </w:pPr>
      <w:r>
        <w:rPr/>
        <w:t xml:space="preserve">Doença falciforme</w:t>
      </w:r>
      <w:r>
        <w:tab/>
      </w:r>
      <w:r>
        <w:t>4</w:t>
      </w:r>
    </w:p>
    <w:p>
      <w:pPr>
        <w:pStyle w:val="Sumrio4"/>
        <w:tabs>
          <w:tab w:val="right" w:leader="dot" w:pos="9968"/>
        </w:tabs>
      </w:pPr>
      <w:r>
        <w:rPr/>
        <w:t xml:space="preserve">Definição e genética</w:t>
      </w:r>
      <w:r>
        <w:tab/>
      </w:r>
      <w:r>
        <w:t>6</w:t>
      </w:r>
    </w:p>
    <w:p>
      <w:pPr>
        <w:pStyle w:val="Sumrio4"/>
        <w:tabs>
          <w:tab w:val="right" w:leader="dot" w:pos="9968"/>
        </w:tabs>
      </w:pPr>
      <w:r>
        <w:rPr/>
        <w:t xml:space="preserve">Epidemiologia e triagem neonatal</w:t>
      </w:r>
      <w:r>
        <w:tab/>
      </w:r>
      <w:r>
        <w:t>6</w:t>
      </w:r>
    </w:p>
    <w:p>
      <w:pPr>
        <w:pStyle w:val="Sumrio4"/>
        <w:tabs>
          <w:tab w:val="right" w:leader="dot" w:pos="9968"/>
        </w:tabs>
      </w:pPr>
      <w:r>
        <w:rPr/>
        <w:t xml:space="preserve">Fisiopatologia</w:t>
      </w:r>
      <w:r>
        <w:tab/>
      </w:r>
      <w:r>
        <w:t>6</w:t>
      </w:r>
    </w:p>
    <w:p>
      <w:pPr>
        <w:pStyle w:val="Sumrio4"/>
        <w:tabs>
          <w:tab w:val="right" w:leader="dot" w:pos="9968"/>
        </w:tabs>
      </w:pPr>
      <w:r>
        <w:rPr/>
        <w:t xml:space="preserve">Manifestações clínicas</w:t>
      </w:r>
      <w:r>
        <w:tab/>
      </w:r>
      <w:r>
        <w:t>7</w:t>
      </w:r>
    </w:p>
    <w:p>
      <w:pPr>
        <w:pStyle w:val="Sumrio4"/>
        <w:tabs>
          <w:tab w:val="right" w:leader="dot" w:pos="9968"/>
        </w:tabs>
      </w:pPr>
      <w:r>
        <w:rPr/>
        <w:t xml:space="preserve">Diagnóstico</w:t>
      </w:r>
      <w:r>
        <w:tab/>
      </w:r>
      <w:r>
        <w:t>8</w:t>
      </w:r>
    </w:p>
    <w:p>
      <w:pPr>
        <w:pStyle w:val="Sumrio4"/>
        <w:tabs>
          <w:tab w:val="right" w:leader="dot" w:pos="9968"/>
        </w:tabs>
      </w:pPr>
      <w:r>
        <w:rPr/>
        <w:t xml:space="preserve">Complicações agudas</w:t>
      </w:r>
      <w:r>
        <w:tab/>
      </w:r>
      <w:r>
        <w:t>8</w:t>
      </w:r>
    </w:p>
    <w:p>
      <w:pPr>
        <w:pStyle w:val="Sumrio4"/>
        <w:tabs>
          <w:tab w:val="right" w:leader="dot" w:pos="9968"/>
        </w:tabs>
      </w:pPr>
      <w:r>
        <w:rPr/>
        <w:t xml:space="preserve">Seguimento e prevenção</w:t>
      </w:r>
      <w:r>
        <w:tab/>
      </w:r>
      <w:r>
        <w:t>10</w:t>
      </w:r>
    </w:p>
    <w:p>
      <w:pPr>
        <w:pStyle w:val="Sumrio4"/>
        <w:tabs>
          <w:tab w:val="right" w:leader="dot" w:pos="9968"/>
        </w:tabs>
      </w:pPr>
      <w:r>
        <w:rPr/>
        <w:t xml:space="preserve">Traço falciforme</w:t>
      </w:r>
      <w:r>
        <w:tab/>
      </w:r>
      <w:r>
        <w:t>11</w:t>
      </w:r>
    </w:p>
    <w:p>
      <w:pPr>
        <w:pStyle w:val="Sumrio3"/>
        <w:tabs>
          <w:tab w:val="right" w:leader="dot" w:pos="9968"/>
        </w:tabs>
      </w:pPr>
      <w:r>
        <w:rPr/>
        <w:t xml:space="preserve">Talassemias</w:t>
      </w:r>
      <w:r>
        <w:tab/>
      </w:r>
      <w:r>
        <w:t>12</w:t>
      </w:r>
    </w:p>
    <w:p>
      <w:pPr>
        <w:pStyle w:val="Sumrio4"/>
        <w:tabs>
          <w:tab w:val="right" w:leader="dot" w:pos="9968"/>
        </w:tabs>
      </w:pPr>
      <w:r>
        <w:rPr/>
        <w:t xml:space="preserve">Definição e fisiopatologia</w:t>
      </w:r>
      <w:r>
        <w:tab/>
      </w:r>
      <w:r>
        <w:t>12</w:t>
      </w:r>
    </w:p>
    <w:p>
      <w:pPr>
        <w:pStyle w:val="Sumrio4"/>
        <w:tabs>
          <w:tab w:val="right" w:leader="dot" w:pos="9968"/>
        </w:tabs>
      </w:pPr>
      <w:r>
        <w:rPr/>
        <w:t xml:space="preserve">β-talassemia</w:t>
      </w:r>
      <w:r>
        <w:tab/>
      </w:r>
      <w:r>
        <w:t>12</w:t>
      </w:r>
    </w:p>
    <w:p>
      <w:pPr>
        <w:pStyle w:val="Sumrio4"/>
        <w:tabs>
          <w:tab w:val="right" w:leader="dot" w:pos="9968"/>
        </w:tabs>
      </w:pPr>
      <w:r>
        <w:rPr/>
        <w:t xml:space="preserve">α-talassemia</w:t>
      </w:r>
      <w:r>
        <w:tab/>
      </w:r>
      <w:r>
        <w:t>12</w:t>
      </w:r>
    </w:p>
    <w:p>
      <w:pPr>
        <w:pStyle w:val="Sumrio4"/>
        <w:tabs>
          <w:tab w:val="right" w:leader="dot" w:pos="9968"/>
        </w:tabs>
      </w:pPr>
      <w:r>
        <w:rPr/>
        <w:t xml:space="preserve">Traço talassêmico × anemia ferropriva</w:t>
      </w:r>
      <w:r>
        <w:tab/>
      </w:r>
      <w:r>
        <w:t>13</w:t>
      </w:r>
    </w:p>
    <w:p>
      <w:pPr>
        <w:pStyle w:val="Sumrio3"/>
        <w:tabs>
          <w:tab w:val="right" w:leader="dot" w:pos="9968"/>
        </w:tabs>
      </w:pPr>
      <w:r>
        <w:rPr/>
        <w:t xml:space="preserve">Esferocitose hereditária</w:t>
      </w:r>
      <w:r>
        <w:tab/>
      </w:r>
      <w:r>
        <w:t>14</w:t>
      </w:r>
    </w:p>
    <w:p>
      <w:pPr>
        <w:pStyle w:val="Sumrio4"/>
        <w:tabs>
          <w:tab w:val="right" w:leader="dot" w:pos="9968"/>
        </w:tabs>
      </w:pPr>
      <w:r>
        <w:rPr/>
        <w:t xml:space="preserve">Definição e fisiopatologia</w:t>
      </w:r>
      <w:r>
        <w:tab/>
      </w:r>
      <w:r>
        <w:t>14</w:t>
      </w:r>
    </w:p>
    <w:p>
      <w:pPr>
        <w:pStyle w:val="Sumrio4"/>
        <w:tabs>
          <w:tab w:val="right" w:leader="dot" w:pos="9968"/>
        </w:tabs>
      </w:pPr>
      <w:r>
        <w:rPr/>
        <w:t xml:space="preserve">Quadro clínico e diagnóstico</w:t>
      </w:r>
      <w:r>
        <w:tab/>
      </w:r>
      <w:r>
        <w:t>14</w:t>
      </w:r>
    </w:p>
    <w:p>
      <w:pPr>
        <w:pStyle w:val="Sumrio4"/>
        <w:tabs>
          <w:tab w:val="right" w:leader="dot" w:pos="9968"/>
        </w:tabs>
      </w:pPr>
      <w:r>
        <w:rPr/>
        <w:t xml:space="preserve">Tratamento</w:t>
      </w:r>
      <w:r>
        <w:tab/>
      </w:r>
      <w:r>
        <w:t>14</w:t>
      </w:r>
    </w:p>
    <w:p>
      <w:pPr>
        <w:pStyle w:val="Sumrio4"/>
        <w:tabs>
          <w:tab w:val="right" w:leader="dot" w:pos="9968"/>
        </w:tabs>
      </w:pPr>
      <w:r>
        <w:rPr/>
        <w:t xml:space="preserve">Eliptocitose hereditária</w:t>
      </w:r>
      <w:r>
        <w:tab/>
      </w:r>
      <w:r>
        <w:t>14</w:t>
      </w:r>
    </w:p>
    <w:p>
      <w:pPr>
        <w:pStyle w:val="Sumrio3"/>
        <w:tabs>
          <w:tab w:val="right" w:leader="dot" w:pos="9968"/>
        </w:tabs>
      </w:pPr>
      <w:r>
        <w:rPr/>
        <w:t xml:space="preserve">Deficiência de G6PD</w:t>
      </w:r>
      <w:r>
        <w:tab/>
      </w:r>
      <w:r>
        <w:t>14</w:t>
      </w:r>
    </w:p>
    <w:p>
      <w:pPr>
        <w:pStyle w:val="Sumrio4"/>
        <w:tabs>
          <w:tab w:val="right" w:leader="dot" w:pos="9968"/>
        </w:tabs>
      </w:pPr>
      <w:r>
        <w:rPr/>
        <w:t xml:space="preserve">Definição e fisiopatologia</w:t>
      </w:r>
      <w:r>
        <w:tab/>
      </w:r>
      <w:r>
        <w:t>14</w:t>
      </w:r>
    </w:p>
    <w:p>
      <w:pPr>
        <w:pStyle w:val="Sumrio4"/>
        <w:tabs>
          <w:tab w:val="right" w:leader="dot" w:pos="9968"/>
        </w:tabs>
      </w:pPr>
      <w:r>
        <w:rPr/>
        <w:t xml:space="preserve">Gatilhos</w:t>
      </w:r>
      <w:r>
        <w:tab/>
      </w:r>
      <w:r>
        <w:t>15</w:t>
      </w:r>
    </w:p>
    <w:p>
      <w:pPr>
        <w:pStyle w:val="Sumrio4"/>
        <w:tabs>
          <w:tab w:val="right" w:leader="dot" w:pos="9968"/>
        </w:tabs>
      </w:pPr>
      <w:r>
        <w:rPr/>
        <w:t xml:space="preserve">Quadro clínico, diagnóstico e tratamento</w:t>
      </w:r>
      <w:r>
        <w:tab/>
      </w:r>
      <w:r>
        <w:t>15</w:t>
      </w:r>
    </w:p>
    <w:p>
      <w:pPr>
        <w:pStyle w:val="Sumrio4"/>
        <w:tabs>
          <w:tab w:val="right" w:leader="dot" w:pos="9968"/>
        </w:tabs>
      </w:pPr>
      <w:r>
        <w:rPr/>
        <w:t xml:space="preserve">Deficiência de piruvato-quinase</w:t>
      </w:r>
      <w:r>
        <w:tab/>
      </w:r>
      <w:r>
        <w:t>15</w:t>
      </w:r>
    </w:p>
    <w:p>
      <w:pPr>
        <w:pStyle w:val="Sumrio3"/>
        <w:tabs>
          <w:tab w:val="right" w:leader="dot" w:pos="9968"/>
        </w:tabs>
      </w:pPr>
      <w:r>
        <w:rPr/>
        <w:t xml:space="preserve">Anemia hemolítica autoimune (AHAI)</w:t>
      </w:r>
      <w:r>
        <w:tab/>
      </w:r>
      <w:r>
        <w:t>16</w:t>
      </w:r>
    </w:p>
    <w:p>
      <w:pPr>
        <w:pStyle w:val="Sumrio4"/>
        <w:tabs>
          <w:tab w:val="right" w:leader="dot" w:pos="9968"/>
        </w:tabs>
      </w:pPr>
      <w:r>
        <w:rPr/>
        <w:t xml:space="preserve">Definição e classificação</w:t>
      </w:r>
      <w:r>
        <w:tab/>
      </w:r>
      <w:r>
        <w:t>16</w:t>
      </w:r>
    </w:p>
    <w:p>
      <w:pPr>
        <w:pStyle w:val="Sumrio3"/>
        <w:tabs>
          <w:tab w:val="right" w:leader="dot" w:pos="9968"/>
        </w:tabs>
      </w:pPr>
      <w:r>
        <w:rPr/>
        <w:t xml:space="preserve">Hemoglobinúria paroxística noturna (HPN)</w:t>
      </w:r>
      <w:r>
        <w:tab/>
      </w:r>
      <w:r>
        <w:t>16</w:t>
      </w:r>
    </w:p>
    <w:p>
      <w:pPr>
        <w:pStyle w:val="Sumrio3"/>
        <w:tabs>
          <w:tab w:val="right" w:leader="dot" w:pos="9968"/>
        </w:tabs>
      </w:pPr>
      <w:r>
        <w:rPr/>
        <w:t xml:space="preserve">Anemias hemolíticas microangiopáticas</w:t>
      </w:r>
      <w:r>
        <w:tab/>
      </w:r>
      <w:r>
        <w:t>17</w:t>
      </w:r>
    </w:p>
    <w:p>
      <w:pPr>
        <w:pStyle w:val="Sumrio3"/>
        <w:tabs>
          <w:tab w:val="right" w:leader="dot" w:pos="9968"/>
        </w:tabs>
      </w:pPr>
      <w:r>
        <w:rPr/>
        <w:t xml:space="preserve">Outras causas adquiridas</w:t>
      </w:r>
      <w:r>
        <w:tab/>
      </w:r>
      <w:r>
        <w:t>17</w:t>
      </w:r>
    </w:p>
    <w:p>
      <w:pPr>
        <w:pStyle w:val="Sumrio3"/>
        <w:tabs>
          <w:tab w:val="right" w:leader="dot" w:pos="9968"/>
        </w:tabs>
      </w:pPr>
      <w:r>
        <w:rPr/>
        <w:t xml:space="preserve">Referências</w:t>
      </w:r>
      <w:r>
        <w:tab/>
      </w:r>
      <w:r>
        <w:t>18</w:t>
      </w:r>
    </w:p>
    <w:p w14:paraId="05982513" w14:textId="20D49E15" w:rsidR="002E369D" w:rsidRDefault="00A87142">
      <w:pPr>
        <w:pStyle w:val="Sumrio31"/>
      </w:pPr>
      <w:r>
        <w:fldChar w:fldCharType="end"/>
      </w:r>
    </w:p>
    <w:p w14:paraId="38D30FF6" w14:textId="77777777" w:rsidR="002E369D" w:rsidRDefault="00A87142">
      <w:pPr>
        <w:spacing w:after="0" w:line="240" w:lineRule="auto"/>
        <w:jc w:val="left"/>
      </w:pPr>
      <w:r>
        <w:br w:type="page"/>
      </w:r>
    </w:p>
    <w:p w14:paraId="5E72C7CD" w14:textId="77777777" w:rsidR="00045C66" w:rsidRDefault="00045C66">
      <w:pPr>
        <w:spacing w:line="259" w:lineRule="auto"/>
        <w:jc w:val="left"/>
        <w:sectPr w:rsidR="00045C66" w:rsidSect="00045C66">
          <w:type w:val="continuous"/>
          <w:pgSz w:w="11906" w:h="16838"/>
          <w:pgMar w:top="964" w:right="964" w:bottom="964" w:left="964" w:header="794" w:footer="227" w:gutter="0"/>
          <w:cols w:num="2" w:space="340"/>
          <w:titlePg/>
          <w:docGrid w:linePitch="360"/>
        </w:sectPr>
      </w:pPr>
    </w:p>
    <w:p w14:paraId="14182F58" w14:textId="77777777" w:rsidR="002E369D" w:rsidRDefault="00A87142">
      <w:pPr>
        <w:spacing w:line="259" w:lineRule="auto"/>
        <w:jc w:val="left"/>
      </w:pPr>
      <w:r>
        <w:rPr>
          <w:noProof/>
          <w:color w:val="921827"/>
        </w:rPr>
        <w:lastRenderedPageBreak/>
        <mc:AlternateContent>
          <mc:Choice Requires="wps">
            <w:drawing>
              <wp:anchor distT="0" distB="0" distL="114300" distR="114300" simplePos="0" relativeHeight="251651635" behindDoc="0" locked="0" layoutInCell="1" allowOverlap="1" wp14:anchorId="3C298F33" wp14:editId="216760BC">
                <wp:simplePos x="0" y="0"/>
                <wp:positionH relativeFrom="margin">
                  <wp:posOffset>805180</wp:posOffset>
                </wp:positionH>
                <wp:positionV relativeFrom="margin">
                  <wp:posOffset>-271780</wp:posOffset>
                </wp:positionV>
                <wp:extent cx="4719320" cy="1134110"/>
                <wp:effectExtent l="0" t="0" r="5080" b="0"/>
                <wp:wrapTopAndBottom/>
                <wp:docPr id="51" name="Tit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9320" cy="1134110"/>
                        </a:xfrm>
                        <a:prstGeom prst="roundRect">
                          <a:avLst/>
                        </a:prstGeom>
                        <a:solidFill>
                          <a:srgbClr val="92182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A59C9E" w14:textId="77777777" w:rsidR="002E369D" w:rsidRDefault="00A87142">
                            <w:pPr>
                              <w:pStyle w:val="Ttulo2"/>
                              <w:jc w:val="center"/>
                            </w:pPr>
                            <w:r>
                              <w:t>Fundamentos da Hemólise</w:t>
                            </w:r>
                          </w:p>
                          <w:p w14:paraId="5776575A" w14:textId="77777777" w:rsidR="002E369D" w:rsidRDefault="00A8714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DEFINIÇÃO, CLASSIFICAÇÃO E LABORATÓRIO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298F33" id="Titulo 51" o:spid="_x0000_s1026" style="position:absolute;margin-left:63.4pt;margin-top:-21.4pt;width:371.6pt;height:89.3pt;z-index:251651635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" fillcolor="#921827" stroked="f">
                <v:textbox>
                  <w:txbxContent>
                    <w:p w14:paraId="67A59C9E" w14:textId="77777777" w:rsidR="002E369D" w:rsidRDefault="00000000">
                      <w:pPr>
                        <w:pStyle w:val="Ttulo2"/>
                        <w:jc w:val="center"/>
                      </w:pPr>
                      <w:r>
                        <w:t>Fundamentos da Hemólise</w:t>
                      </w:r>
                    </w:p>
                    <w:p w14:paraId="5776575A" w14:textId="77777777" w:rsidR="002E369D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  <w:t>DEFINIÇÃO, CLASSIFICAÇÃO E LABORATÓRIO</w:t>
                      </w:r>
                    </w:p>
                  </w:txbxContent>
                </v:textbox>
                <w10:wrap type="topAndBottom" anchorx="margin" anchory="margin"/>
              </v:roundrect>
            </w:pict>
          </mc:Fallback>
        </mc:AlternateContent>
      </w:r>
    </w:p>
    <w:p>
      <w:pPr>
        <w:pStyle w:val="Ttulo3"/>
      </w:pPr>
      <w:r>
        <w:rPr/>
        <w:t xml:space="preserve">Anemia hemolítica</w:t>
      </w:r>
    </w:p>
    <w:p>
      <w:pPr>
        <w:pStyle w:val="Ttulo4"/>
      </w:pPr>
      <w:r>
        <w:rPr/>
        <w:t xml:space="preserve">Definição</w:t>
      </w:r>
    </w:p>
    <w:p>
      <w:r>
        <w:rPr/>
        <w:t xml:space="preserve">A hemácia normal vive cerca de </w:t>
      </w:r>
      <w:r>
        <w:rPr>
          <w:b/>
          <w:bCs/>
        </w:rPr>
        <w:t xml:space="preserve">120 dias</w:t>
      </w:r>
      <w:r>
        <w:rPr/>
        <w:t xml:space="preserve"> e é retirada da circulação pelos macrófagos do baço e do fígado. A </w:t>
      </w:r>
      <w:r>
        <w:rPr>
          <w:b/>
          <w:bCs/>
        </w:rPr>
        <w:t xml:space="preserve">anemia hemolítica</w:t>
      </w:r>
      <w:r>
        <w:rPr/>
        <w:t xml:space="preserve"> acontece quando a hemácia é destruída </w:t>
      </w:r>
      <w:r>
        <w:rPr>
          <w:b/>
          <w:bCs/>
        </w:rPr>
        <w:t xml:space="preserve">antes do tempo</w:t>
      </w:r>
      <w:r>
        <w:rPr/>
        <w:t xml:space="preserve"> e a medula óssea, mesmo aumentando a produção (até 6 a 8 vezes), não consegue compensar a perda.</w:t>
      </w:r>
    </w:p>
    <w:p>
      <w:r>
        <w:rPr/>
        <w:t xml:space="preserve">Por isso, a marca laboratorial da hemólise é a combinação de </w:t>
      </w:r>
      <w:r>
        <w:rPr>
          <w:b/>
          <w:bCs/>
        </w:rPr>
        <w:t xml:space="preserve">anemia com reticulocitose</w:t>
      </w:r>
      <w:r>
        <w:rPr/>
        <w:t xml:space="preserve">: a medula está respondendo, mas as hemácias somem da circulação. Se a hemólise é leve, a medula compensa e o paciente pode ter </w:t>
      </w:r>
      <w:r>
        <w:rPr>
          <w:b/>
          <w:bCs/>
        </w:rPr>
        <w:t xml:space="preserve">hemólise compensada</w:t>
      </w:r>
      <w:r>
        <w:rPr/>
        <w:t xml:space="preserve">, sem anemia.</w:t>
      </w:r>
    </w:p>
    <w:p>
      <w:pPr>
        <w:pStyle w:val="Ttulo4"/>
      </w:pPr>
      <w:r>
        <w:rPr/>
        <w:t xml:space="preserve">Classificação</w:t>
      </w:r>
    </w:p>
    <w:p>
      <w:r>
        <w:rPr/>
        <w:t xml:space="preserve">A forma mais útil de pensar é perguntar </w:t>
      </w:r>
      <w:r>
        <w:rPr>
          <w:b/>
          <w:bCs/>
        </w:rPr>
        <w:t xml:space="preserve">onde está o defeito</w:t>
      </w:r>
      <w:r>
        <w:rPr/>
        <w:t xml:space="preserve">: na própria hemácia (</w:t>
      </w:r>
      <w:r>
        <w:rPr>
          <w:b/>
          <w:bCs/>
        </w:rPr>
        <w:t xml:space="preserve">intrínseco</w:t>
      </w:r>
      <w:r>
        <w:rPr/>
        <w:t xml:space="preserve">, quase sempre hereditário) ou fora dela (</w:t>
      </w:r>
      <w:r>
        <w:rPr>
          <w:b/>
          <w:bCs/>
        </w:rPr>
        <w:t xml:space="preserve">extrínseco</w:t>
      </w:r>
      <w:r>
        <w:rPr/>
        <w:t xml:space="preserve">, quase sempre adquirido).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1</w:t>
      </w:r>
      <w:r>
        <w:rPr>
          <w:color w:val="921827"/>
          <w:sz w:val="18"/>
          <w:szCs w:val="18"/>
        </w:rPr>
        <w:t xml:space="preserve"> – Classificação das anemias hemolíticas</w:t>
      </w:r>
    </w:p>
    <w:tbl>
      <w:tblPr>
        <w:tblW w:w="9900" w:type="dxa"/>
        <w:tblLayout w:type="fixed"/>
      </w:tblPr>
      <w:tblGrid>
        <w:gridCol w:w="2600"/>
        <w:gridCol w:w="3200"/>
        <w:gridCol w:w="4100"/>
      </w:tblGrid>
      <w:tr>
        <w:trPr>
          <w:tblHeader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Defeito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Exemplos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Hereditárias (intrínsecas)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Hemoglobina (hemoglobinopatias)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Doença falciforme, talassemias, HbC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Membrana (membranopatias)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Esferocitose e eliptocitose hereditárias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Enzimas (enzimopatias)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Deficiência de G6PD, deficiência de piruvato-quinase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Adquiridas (extrínsecas)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Imunes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AHAI quente, doença das crioaglutininas, induzida por fármacos, reação transfusional, doença hemolítica do recém-nascido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Microangiopáticas e mecânicas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PTT, SHU, CIVD, prótese valvar, hipertensão maligna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Infecções e agentes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Malária, Clostridium, babesiose, venenos, queimaduras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Adquirida intrínseca (exceção)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Membrana sem proteínas ancoradas por GPI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Hemoglobinúria paroxística noturna (HPN)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Harrison, cap. de anemias hemolíticas (ref. 6); Hoffbrand (ref. 13).</w:t>
      </w:r>
    </w:p>
    <w:p>
      <w:pPr>
        <w:pStyle w:val="Ttulo4"/>
      </w:pPr>
      <w:r>
        <w:rPr/>
        <w:t xml:space="preserve">Hemólise intravascular × extravascular</w:t>
      </w:r>
    </w:p>
    <w:p>
      <w:r>
        <w:rPr/>
        <w:t xml:space="preserve">A maior parte das hemólises é </w:t>
      </w:r>
      <w:r>
        <w:rPr>
          <w:b/>
          <w:bCs/>
        </w:rPr>
        <w:t xml:space="preserve">extravascular</w:t>
      </w:r>
      <w:r>
        <w:rPr/>
        <w:t xml:space="preserve">: o macrófago do baço "come" a hemácia alterada. Na hemólise </w:t>
      </w:r>
      <w:r>
        <w:rPr>
          <w:b/>
          <w:bCs/>
        </w:rPr>
        <w:t xml:space="preserve">intravascular</w:t>
      </w:r>
      <w:r>
        <w:rPr/>
        <w:t xml:space="preserve">, a hemácia se rompe dentro do vaso e a hemoglobina livre cai no plasma e na urina.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2</w:t>
      </w:r>
      <w:r>
        <w:rPr>
          <w:color w:val="921827"/>
          <w:sz w:val="18"/>
          <w:szCs w:val="18"/>
        </w:rPr>
        <w:t xml:space="preserve"> – Diferenças entre hemólise intravascular e extravascular</w:t>
      </w:r>
    </w:p>
    <w:tbl>
      <w:tblPr>
        <w:tblW w:w="9900" w:type="dxa"/>
        <w:tblLayout w:type="fixed"/>
      </w:tblPr>
      <w:tblGrid>
        <w:gridCol w:w="2300"/>
        <w:gridCol w:w="3800"/>
        <w:gridCol w:w="3800"/>
      </w:tblGrid>
      <w:tr>
        <w:trPr>
          <w:tblHeader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Característica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Intravascular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Extravascular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Dentro dos vasos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Macrófagos do baço e do fígado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Exemplos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G6PD na crise, PTT/SHU, HPN, reação transfusional ABO, malária grave, prótese valvar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Esferocitose, AHAI quente, doença falciforme, talassemias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LDH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Muito</w:t>
            </w:r>
            <w:r>
              <w:rPr>
                <w:sz w:val="18"/>
                <w:szCs w:val="18"/>
              </w:rPr>
              <w:t xml:space="preserve"> elevada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Elevada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Haptoglobina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Indetectável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Baixa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Urina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Hemoglobinúria</w:t>
            </w:r>
            <w:r>
              <w:rPr>
                <w:sz w:val="18"/>
                <w:szCs w:val="18"/>
              </w:rPr>
              <w:t xml:space="preserve"> (urina escura, "cor de Coca-Cola") e hemossiderinúria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Urobilinogênio aumentado, sem hemoglobina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Baço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Geralmente normal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Esplenomegalia</w:t>
            </w:r>
            <w:r>
              <w:rPr>
                <w:sz w:val="18"/>
                <w:szCs w:val="18"/>
              </w:rPr>
              <w:t xml:space="preserve"> frequente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Esfregaço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Esquizócitos (MAT), células mordidas (G6PD)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Esferócitos, drepanócitos, células em alvo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Harrison (ref. 6); Hoffbrand (ref. 13).</w:t>
      </w:r>
    </w:p>
    <w:p>
      <w:pPr>
        <w:pStyle w:val="Ttulo4"/>
      </w:pPr>
      <w:r>
        <w:rPr/>
        <w:t xml:space="preserve">Laboratório da hemólise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Reticulócitos aumentados:</w:t>
      </w:r>
      <w:r>
        <w:rPr/>
        <w:t xml:space="preserve"> mostram resposta medular. Corrija pelo hematócrito: o </w:t>
      </w:r>
      <w:r>
        <w:rPr>
          <w:b/>
          <w:bCs/>
        </w:rPr>
        <w:t xml:space="preserve">índice de produção reticulocitária (IPR)</w:t>
      </w:r>
      <w:r>
        <w:rPr/>
        <w:t xml:space="preserve"> = reticulócitos (%) × (Ht do paciente ÷ 45) ÷ fator de maturação (1,0; 1,5; 2,0 e 2,5 para Ht de 45, 35, 25 e 15%). </w:t>
      </w:r>
      <w:r>
        <w:rPr>
          <w:b/>
          <w:bCs/>
        </w:rPr>
        <w:t xml:space="preserve">IPR &gt; 2</w:t>
      </w:r>
      <w:r>
        <w:rPr/>
        <w:t xml:space="preserve"> = medula respondendo (hemólise ou sangramento).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LDH aumentada:</w:t>
      </w:r>
      <w:r>
        <w:rPr/>
        <w:t xml:space="preserve"> enzima liberada da hemácia rompida.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Bilirrubina indireta aumentada:</w:t>
      </w:r>
      <w:r>
        <w:rPr/>
        <w:t xml:space="preserve"> o heme vira bilirrubina não conjugada; icterícia sem colúria (acolúrica).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Haptoglobina baixa:</w:t>
      </w:r>
      <w:r>
        <w:rPr/>
        <w:t xml:space="preserve"> ela se liga à hemoglobina livre e é retirada da circulação.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Esfregaço de sangue periférico:</w:t>
      </w:r>
      <w:r>
        <w:rPr/>
        <w:t xml:space="preserve"> o exame que mais orienta a causa (Tabela 4).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Teste da antiglobulina direto (Coombs direto, TAD):</w:t>
      </w:r>
      <w:r>
        <w:rPr/>
        <w:t xml:space="preserve"> detecta anticorpo ou complemento na superfície da hemácia. </w:t>
      </w:r>
      <w:r>
        <w:rPr>
          <w:b/>
          <w:bCs/>
        </w:rPr>
        <w:t xml:space="preserve">Positivo = hemólise imune.</w:t>
      </w:r>
    </w:p>
    <w:tbl>
      <w:tblPr>
        <w:tblW w:w="9900" w:type="dxa"/>
        <w:tblLayout w:type="fixed"/>
      </w:tblPr>
      <w:tblGrid>
        <w:gridCol w:w="9900"/>
      </w:tblGrid>
      <w:tr>
        <w:trPr>
          <w:cantSplit/>
        </w:trPr>
        <w:tc>
          <w:tcPr>
            <w:tcW w:w="990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8EDE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/>
              <w:spacing w:after="20" w:line="276" w:lineRule="auto"/>
              <w:jc w:val="left"/>
            </w:pPr>
            <w:r>
              <w:rPr>
                <w:b/>
                <w:bCs/>
                <w:color w:val="921827"/>
                <w:sz w:val="16"/>
                <w:szCs w:val="16"/>
              </w:rPr>
              <w:t xml:space="preserve">Ponto-chave</w:t>
            </w:r>
          </w:p>
          <w:p>
            <w:pPr>
              <w:spacing w:after="40" w:line="276" w:lineRule="auto"/>
            </w:pPr>
            <w:r>
              <w:rPr>
                <w:sz w:val="16"/>
                <w:szCs w:val="16"/>
              </w:rPr>
              <w:t xml:space="preserve">Anemia + </w:t>
            </w:r>
            <w:r>
              <w:rPr>
                <w:b/>
                <w:bCs/>
                <w:sz w:val="16"/>
                <w:szCs w:val="16"/>
              </w:rPr>
              <w:t xml:space="preserve">reticulócitos altos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b/>
                <w:bCs/>
                <w:sz w:val="16"/>
                <w:szCs w:val="16"/>
              </w:rPr>
              <w:t xml:space="preserve">LDH alta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b/>
                <w:bCs/>
                <w:sz w:val="16"/>
                <w:szCs w:val="16"/>
              </w:rPr>
              <w:t xml:space="preserve">bilirrubina indireta alta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b/>
                <w:bCs/>
                <w:sz w:val="16"/>
                <w:szCs w:val="16"/>
              </w:rPr>
              <w:t xml:space="preserve">haptoglobina baixa</w:t>
            </w:r>
            <w:r>
              <w:rPr>
                <w:sz w:val="16"/>
                <w:szCs w:val="16"/>
              </w:rPr>
              <w:t xml:space="preserve"> = hemólise. O próximo passo é sempre o </w:t>
            </w:r>
            <w:r>
              <w:rPr>
                <w:b/>
                <w:bCs/>
                <w:sz w:val="16"/>
                <w:szCs w:val="16"/>
              </w:rPr>
              <w:t xml:space="preserve">Coombs direto</w:t>
            </w:r>
            <w:r>
              <w:rPr>
                <w:sz w:val="16"/>
                <w:szCs w:val="16"/>
              </w:rPr>
              <w:t xml:space="preserve"> e o </w:t>
            </w:r>
            <w:r>
              <w:rPr>
                <w:b/>
                <w:bCs/>
                <w:sz w:val="16"/>
                <w:szCs w:val="16"/>
              </w:rPr>
              <w:t xml:space="preserve">esfregaço</w:t>
            </w:r>
            <w:r>
              <w:rPr>
                <w:sz w:val="16"/>
                <w:szCs w:val="16"/>
              </w:rPr>
              <w:t xml:space="preserve">.</w:t>
            </w:r>
          </w:p>
        </w:tc>
      </w:tr>
    </w:tbl>
    <w:p/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3</w:t>
      </w:r>
      <w:r>
        <w:rPr>
          <w:color w:val="921827"/>
          <w:sz w:val="18"/>
          <w:szCs w:val="18"/>
        </w:rPr>
        <w:t xml:space="preserve"> – Achados do esfregaço e o que sugerem</w:t>
      </w:r>
    </w:p>
    <w:tbl>
      <w:tblPr>
        <w:tblW w:w="9900" w:type="dxa"/>
        <w:tblLayout w:type="fixed"/>
      </w:tblPr>
      <w:tblGrid>
        <w:gridCol w:w="3800"/>
        <w:gridCol w:w="6100"/>
      </w:tblGrid>
      <w:tr>
        <w:trPr>
          <w:tblHeader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Achado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Sugere</w:t>
            </w:r>
          </w:p>
        </w:tc>
      </w:tr>
      <w:tr>
        <w:trPr>
          <w:cantSplit/>
        </w:trPr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Esferócitos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Esferocitose hereditária, AHAI quente</w:t>
            </w:r>
          </w:p>
        </w:tc>
      </w:tr>
      <w:tr>
        <w:trPr>
          <w:cantSplit/>
        </w:trPr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Esquizócitos (fragmentos)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Microangiopatia trombótica (PTT, SHU, CIVD), prótese valvar</w:t>
            </w:r>
          </w:p>
        </w:tc>
      </w:tr>
      <w:tr>
        <w:trPr>
          <w:cantSplit/>
        </w:trPr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Drepanócitos (hemácias em foice)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Doença falciforme</w:t>
            </w:r>
          </w:p>
        </w:tc>
      </w:tr>
      <w:tr>
        <w:trPr>
          <w:cantSplit/>
        </w:trPr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Células em alvo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Talassemias, hemoglobina C, hepatopatia, pós-esplenectomia</w:t>
            </w:r>
          </w:p>
        </w:tc>
      </w:tr>
      <w:tr>
        <w:trPr>
          <w:cantSplit/>
        </w:trPr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Corpos de Heinz e células "mordidas"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Deficiência de G6PD (estresse oxidativo)</w:t>
            </w:r>
          </w:p>
        </w:tc>
      </w:tr>
      <w:tr>
        <w:trPr>
          <w:cantSplit/>
        </w:trPr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Aglutinação das hemácias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Doença das crioaglutininas</w:t>
            </w:r>
          </w:p>
        </w:tc>
      </w:tr>
      <w:tr>
        <w:trPr>
          <w:cantSplit/>
        </w:trPr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Corpúsculos de Howell-Jolly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Asplenia (anatômica ou funcional, como na doença falciforme)</w:t>
            </w:r>
          </w:p>
        </w:tc>
      </w:tr>
      <w:tr>
        <w:trPr>
          <w:cantSplit/>
        </w:trPr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Eliptócitos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Eliptocitose hereditária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Hoffbrand (ref. 13).</w:t>
      </w:r>
    </w:p>
    <w:p>
      <w:pPr>
        <w:jc w:val="center"/>
      </w:pPr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074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23_fluxo_hemolis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6"/>
          <w:szCs w:val="16"/>
        </w:rPr>
        <w:t xml:space="preserve">Figura 1</w:t>
      </w:r>
      <w:r>
        <w:rPr>
          <w:color w:val="921827"/>
          <w:sz w:val="16"/>
          <w:szCs w:val="16"/>
        </w:rPr>
        <w:t xml:space="preserve">: Investigação da anemia hemolítica</w:t>
      </w:r>
    </w:p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Fluxograma MedSum elaborado a partir de Harrison (ref. 6) e Jäger et al. (ref. 7).</w:t>
      </w:r>
    </w:p>
    <w:p>
      <w:pPr>
        <w:spacing w:after="0" w:line="240" w:lineRule="auto"/>
      </w:pPr>
      <w:r>
        <w:br w:type="page"/>
      </w:r>
    </w:p>
    <w:p w14:paraId="14182F58" w14:textId="77777777" w:rsidR="002E369D" w:rsidRDefault="00A87142">
      <w:pPr>
        <w:spacing w:line="259" w:lineRule="auto"/>
        <w:jc w:val="left"/>
      </w:pPr>
      <w:r>
        <w:rPr>
          <w:noProof/>
          <w:color w:val="921827"/>
        </w:rPr>
        <w:lastRenderedPageBreak/>
        <mc:AlternateContent>
          <mc:Choice Requires="wps">
            <w:drawing>
              <wp:anchor distT="0" distB="0" distL="114300" distR="114300" simplePos="0" relativeHeight="251651635" behindDoc="0" locked="0" layoutInCell="1" allowOverlap="1" wp14:anchorId="3C298F33" wp14:editId="216760BC">
                <wp:simplePos x="0" y="0"/>
                <wp:positionH relativeFrom="margin">
                  <wp:posOffset>805180</wp:posOffset>
                </wp:positionH>
                <wp:positionV relativeFrom="margin">
                  <wp:posOffset>-271780</wp:posOffset>
                </wp:positionV>
                <wp:extent cx="4719320" cy="1134110"/>
                <wp:effectExtent l="0" t="0" r="5080" b="0"/>
                <wp:wrapTopAndBottom/>
                <wp:docPr id="51" name="Tit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9320" cy="1134110"/>
                        </a:xfrm>
                        <a:prstGeom prst="roundRect">
                          <a:avLst/>
                        </a:prstGeom>
                        <a:solidFill>
                          <a:srgbClr val="92182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A59C9E" w14:textId="77777777" w:rsidR="002E369D" w:rsidRDefault="00A87142">
                            <w:pPr>
                              <w:pStyle w:val="Ttulo2"/>
                              <w:jc w:val="center"/>
                            </w:pPr>
                            <w:r>
                              <w:t>Doença Falciforme</w:t>
                            </w:r>
                          </w:p>
                          <w:p w14:paraId="5776575A" w14:textId="77777777" w:rsidR="002E369D" w:rsidRDefault="00A8714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GENÉTICA, FISIOPATOLOGIA, CRISES E SEGUIMENTO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298F33" id="Titulo 51" o:spid="_x0000_s1026" style="position:absolute;margin-left:63.4pt;margin-top:-21.4pt;width:371.6pt;height:89.3pt;z-index:251651635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" fillcolor="#921827" stroked="f">
                <v:textbox>
                  <w:txbxContent>
                    <w:p w14:paraId="67A59C9E" w14:textId="77777777" w:rsidR="002E369D" w:rsidRDefault="00000000">
                      <w:pPr>
                        <w:pStyle w:val="Ttulo2"/>
                        <w:jc w:val="center"/>
                      </w:pPr>
                      <w:r>
                        <w:t>Doença Falciforme</w:t>
                      </w:r>
                    </w:p>
                    <w:p w14:paraId="5776575A" w14:textId="77777777" w:rsidR="002E369D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  <w:t>GENÉTICA, FISIOPATOLOGIA, CRISES E SEGUIMENTO</w:t>
                      </w:r>
                    </w:p>
                  </w:txbxContent>
                </v:textbox>
                <w10:wrap type="topAndBottom" anchorx="margin" anchory="margin"/>
              </v:roundrect>
            </w:pict>
          </mc:Fallback>
        </mc:AlternateContent>
      </w:r>
    </w:p>
    <w:p>
      <w:pPr>
        <w:pStyle w:val="Ttulo3"/>
      </w:pPr>
      <w:r>
        <w:rPr/>
        <w:t xml:space="preserve">Doença falciforme</w:t>
      </w:r>
    </w:p>
    <w:p>
      <w:pPr>
        <w:pStyle w:val="Ttulo4"/>
      </w:pPr>
      <w:r>
        <w:rPr/>
        <w:t xml:space="preserve">Definição e genética</w:t>
      </w:r>
    </w:p>
    <w:p>
      <w:r>
        <w:rPr>
          <w:b/>
          <w:bCs/>
        </w:rPr>
        <w:t xml:space="preserve">Doença falciforme (DF)</w:t>
      </w:r>
      <w:r>
        <w:rPr/>
        <w:t xml:space="preserve"> é o nome do grupo de doenças hereditárias em que predomina a </w:t>
      </w:r>
      <w:r>
        <w:rPr>
          <w:b/>
          <w:bCs/>
        </w:rPr>
        <w:t xml:space="preserve">hemoglobina S (HbS)</w:t>
      </w:r>
      <w:r>
        <w:rPr/>
        <w:t xml:space="preserve">. A HbS nasce de uma </w:t>
      </w:r>
      <w:r>
        <w:rPr>
          <w:b/>
          <w:bCs/>
        </w:rPr>
        <w:t xml:space="preserve">mutação pontual no gene da β-globina</w:t>
      </w:r>
      <w:r>
        <w:rPr/>
        <w:t xml:space="preserve"> (cromossomo 11): troca do </w:t>
      </w:r>
      <w:r>
        <w:rPr>
          <w:b/>
          <w:bCs/>
        </w:rPr>
        <w:t xml:space="preserve">ácido glutâmico por valina na posição 6</w:t>
      </w:r>
      <w:r>
        <w:rPr/>
        <w:t xml:space="preserve">. A herança é </w:t>
      </w:r>
      <w:r>
        <w:rPr>
          <w:b/>
          <w:bCs/>
        </w:rPr>
        <w:t xml:space="preserve">autossômica recessiva</w:t>
      </w:r>
      <w:r>
        <w:rPr/>
        <w:t xml:space="preserve">.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4</w:t>
      </w:r>
      <w:r>
        <w:rPr>
          <w:color w:val="921827"/>
          <w:sz w:val="18"/>
          <w:szCs w:val="18"/>
        </w:rPr>
        <w:t xml:space="preserve"> – Genótipos da doença falciforme e do traço</w:t>
      </w:r>
    </w:p>
    <w:tbl>
      <w:tblPr>
        <w:tblW w:w="9900" w:type="dxa"/>
        <w:tblLayout w:type="fixed"/>
      </w:tblPr>
      <w:tblGrid>
        <w:gridCol w:w="2300"/>
        <w:gridCol w:w="4300"/>
        <w:gridCol w:w="3300"/>
      </w:tblGrid>
      <w:tr>
        <w:trPr>
          <w:tblHeader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Genótipo</w:t>
            </w:r>
          </w:p>
        </w:tc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é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Gravidade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HbSS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Anemia falciforme</w:t>
            </w:r>
            <w:r>
              <w:rPr>
                <w:sz w:val="18"/>
                <w:szCs w:val="18"/>
              </w:rPr>
              <w:t xml:space="preserve">: herdou HbS do pai e da mãe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 forma mais comum e mais grave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HbS/β⁰-talassemia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HbS + gene que não produz β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Grave, semelhante à SS (com microcitose)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HbSC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HbS + hemoglobina C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Moderada; mais retinopatia e necrose óssea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HbS/β⁺-talassemia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HbS + gene que produz pouca β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Mais leve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HbAS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Traço falciforme</w:t>
            </w:r>
            <w:r>
              <w:rPr>
                <w:sz w:val="18"/>
                <w:szCs w:val="18"/>
              </w:rPr>
              <w:t xml:space="preserve">: um gene normal e um 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Não é doença; em geral assintomático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Brasil. MS, Doença falciforme: condutas básicas (ref. 1).</w:t>
      </w:r>
    </w:p>
    <w:p>
      <w:pPr>
        <w:pStyle w:val="Ttulo4"/>
      </w:pPr>
      <w:r>
        <w:rPr/>
        <w:t xml:space="preserve">Epidemiologia e triagem neonatal</w:t>
      </w:r>
    </w:p>
    <w:p>
      <w:r>
        <w:rPr/>
        <w:t xml:space="preserve">A DF é a </w:t>
      </w:r>
      <w:r>
        <w:rPr>
          <w:b/>
          <w:bCs/>
        </w:rPr>
        <w:t xml:space="preserve">doença genética mais prevalente no Brasil</w:t>
      </w:r>
      <w:r>
        <w:rPr/>
        <w:t xml:space="preserve">, com maior frequência na população negra e parda e nos estados com maior ascendência africana (a Bahia lidera). O Ministério da Saúde estima o nascimento de cerca de 3 mil crianças com DF e de 200 mil com traço falciforme por ano.</w:t>
      </w:r>
    </w:p>
    <w:p>
      <w:r>
        <w:rPr/>
        <w:t xml:space="preserve">O diagnóstico precoce é feito no </w:t>
      </w:r>
      <w:r>
        <w:rPr>
          <w:b/>
          <w:bCs/>
        </w:rPr>
        <w:t xml:space="preserve">teste do pezinho</w:t>
      </w:r>
      <w:r>
        <w:rPr/>
        <w:t xml:space="preserve"> (Programa Nacional de Triagem Neonatal), que inclui as hemoglobinopatias. O laudo mostra as hemoglobinas em ordem de quantidade: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FA:</w:t>
      </w:r>
      <w:r>
        <w:rPr/>
        <w:t xml:space="preserve"> normal (F = fetal, que predomina no recém-nascido).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FAS:</w:t>
      </w:r>
      <w:r>
        <w:rPr/>
        <w:t xml:space="preserve"> traço falciforme.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FS:</w:t>
      </w:r>
      <w:r>
        <w:rPr/>
        <w:t xml:space="preserve"> doença falciforme (SS ou S/β⁰-talassemia).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FSC:</w:t>
      </w:r>
      <w:r>
        <w:rPr/>
        <w:t xml:space="preserve"> hemoglobinopatia SC.</w:t>
      </w:r>
    </w:p>
    <w:p>
      <w:pPr>
        <w:numPr>
          <w:ilvl w:val="0"/>
          <w:numId w:val="1"/>
        </w:numPr>
      </w:pPr>
      <w:r>
        <w:rPr/>
        <w:t xml:space="preserve">O resultado alterado é </w:t>
      </w:r>
      <w:r>
        <w:rPr>
          <w:b/>
          <w:bCs/>
        </w:rPr>
        <w:t xml:space="preserve">confirmado</w:t>
      </w:r>
      <w:r>
        <w:rPr/>
        <w:t xml:space="preserve"> com nova amostra (eletroforese/HPLC) e a criança entra no acompanhamento em centro de referência </w:t>
      </w:r>
      <w:r>
        <w:rPr>
          <w:b/>
          <w:bCs/>
        </w:rPr>
        <w:t xml:space="preserve">antes dos 3 meses de vida</w:t>
      </w:r>
      <w:r>
        <w:rPr/>
        <w:t xml:space="preserve">, quando começa a profilaxia.</w:t>
      </w:r>
    </w:p>
    <w:p>
      <w:pPr>
        <w:pStyle w:val="Ttulo4"/>
      </w:pPr>
      <w:r>
        <w:rPr/>
        <w:t xml:space="preserve">Fisiopatologia</w:t>
      </w:r>
    </w:p>
    <w:p>
      <w:r>
        <w:rPr/>
        <w:t xml:space="preserve">Quando perde oxigênio, a HbS </w:t>
      </w:r>
      <w:r>
        <w:rPr>
          <w:b/>
          <w:bCs/>
        </w:rPr>
        <w:t xml:space="preserve">polimeriza</w:t>
      </w:r>
      <w:r>
        <w:rPr/>
        <w:t xml:space="preserve"> e deforma a hemácia em </w:t>
      </w:r>
      <w:r>
        <w:rPr>
          <w:b/>
          <w:bCs/>
        </w:rPr>
        <w:t xml:space="preserve">foice</w:t>
      </w:r>
      <w:r>
        <w:rPr/>
        <w:t xml:space="preserve">. A hemácia falcizada fica rígida, adere ao endotélio e vive só 10 a 20 dias. Daí saem dois grandes mecanismos de doença: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5</w:t>
      </w:r>
      <w:r>
        <w:rPr>
          <w:color w:val="921827"/>
          <w:sz w:val="18"/>
          <w:szCs w:val="18"/>
        </w:rPr>
        <w:t xml:space="preserve"> – Os dois mecanismos da doença falciforme</w:t>
      </w:r>
    </w:p>
    <w:tbl>
      <w:tblPr>
        <w:tblW w:w="9900" w:type="dxa"/>
        <w:tblLayout w:type="fixed"/>
      </w:tblPr>
      <w:tblGrid>
        <w:gridCol w:w="1900"/>
        <w:gridCol w:w="4000"/>
        <w:gridCol w:w="4000"/>
      </w:tblGrid>
      <w:tr>
        <w:trPr>
          <w:tblHeader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acontece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Manifestações típicas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Vaso-oclusão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Hemácias rígidas + adesão ao endotélio + inflamação entopem a microcirculação → isquemia e infarto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Crise dolorosa, dactilite, síndrome torácica aguda, sequestro esplênico, autoesplenectomia, necrose avascular, AVC</w:t>
            </w:r>
          </w:p>
        </w:tc>
      </w:tr>
      <w:tr>
        <w:trPr>
          <w:cantSplit/>
        </w:trPr>
        <w:tc>
          <w:tcPr>
            <w:tcW w:w="1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Hemólise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Hemoglobina livre consome o óxido nítrico → vasoconstrição e lesão endotelial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Anemia crônica, icterícia, litíase biliar, hipertensão pulmonar, priapismo, úlceras de perna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Harrison (ref. 6); NHLBI 2014 (ref. 3).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Pioram a falcização:</w:t>
      </w:r>
      <w:r>
        <w:rPr/>
        <w:t xml:space="preserve"> hipóxia, desidratação, acidose, febre/infecção, frio, estresse e esforço intenso.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Protege:</w:t>
      </w:r>
      <w:r>
        <w:rPr/>
        <w:t xml:space="preserve"> a </w:t>
      </w:r>
      <w:r>
        <w:rPr>
          <w:b/>
          <w:bCs/>
        </w:rPr>
        <w:t xml:space="preserve">hemoglobina fetal (HbF)</w:t>
      </w:r>
      <w:r>
        <w:rPr/>
        <w:t xml:space="preserve">. Por isso os sintomas começam por volta dos </w:t>
      </w:r>
      <w:r>
        <w:rPr>
          <w:b/>
          <w:bCs/>
        </w:rPr>
        <w:t xml:space="preserve">6 meses</w:t>
      </w:r>
      <w:r>
        <w:rPr/>
        <w:t xml:space="preserve">, quando a HbF cai, e a </w:t>
      </w:r>
      <w:r>
        <w:rPr>
          <w:b/>
          <w:bCs/>
        </w:rPr>
        <w:t xml:space="preserve">hidroxiureia</w:t>
      </w:r>
      <w:r>
        <w:rPr/>
        <w:t xml:space="preserve"> funciona (aumenta a HbF).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Asplenia funcional precoce:</w:t>
      </w:r>
      <w:r>
        <w:rPr/>
        <w:t xml:space="preserve"> infartos repetidos destroem o baço nos primeiros anos. A criança fica vulnerável a </w:t>
      </w:r>
      <w:r>
        <w:rPr>
          <w:b/>
          <w:bCs/>
        </w:rPr>
        <w:t xml:space="preserve">germes encapsulados</w:t>
      </w:r>
      <w:r>
        <w:rPr/>
        <w:t xml:space="preserve"> (pneumococo, Haemophilus, meningococo) e a </w:t>
      </w:r>
      <w:r>
        <w:rPr>
          <w:b/>
          <w:bCs/>
        </w:rPr>
        <w:t xml:space="preserve">Salmonella</w:t>
      </w:r>
      <w:r>
        <w:rPr/>
        <w:t xml:space="preserve"> (osteomielite).</w:t>
      </w:r>
    </w:p>
    <w:tbl>
      <w:tblPr>
        <w:tblW w:w="9900" w:type="dxa"/>
        <w:tblLayout w:type="fixed"/>
      </w:tblPr>
      <w:tblGrid>
        <w:gridCol w:w="9900"/>
      </w:tblGrid>
      <w:tr>
        <w:trPr>
          <w:cantSplit/>
        </w:trPr>
        <w:tc>
          <w:tcPr>
            <w:tcW w:w="990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8EDE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/>
              <w:spacing w:after="20" w:line="276" w:lineRule="auto"/>
              <w:jc w:val="left"/>
            </w:pPr>
            <w:r>
              <w:rPr>
                <w:b/>
                <w:bCs/>
                <w:color w:val="921827"/>
                <w:sz w:val="16"/>
                <w:szCs w:val="16"/>
              </w:rPr>
              <w:t xml:space="preserve">Ponto-chave</w:t>
            </w:r>
          </w:p>
          <w:p>
            <w:pPr>
              <w:spacing w:after="40" w:line="276" w:lineRule="auto"/>
            </w:pPr>
            <w:r>
              <w:rPr>
                <w:sz w:val="16"/>
                <w:szCs w:val="16"/>
              </w:rPr>
              <w:t xml:space="preserve">A infecção grave (sepse pneumocócica) é a principal causa de morte em crianças pequenas com DF. </w:t>
            </w:r>
            <w:r>
              <w:rPr>
                <w:b/>
                <w:bCs/>
                <w:sz w:val="16"/>
                <w:szCs w:val="16"/>
              </w:rPr>
              <w:t xml:space="preserve">Toda febre é emergência</w:t>
            </w:r>
            <w:r>
              <w:rPr>
                <w:sz w:val="16"/>
                <w:szCs w:val="16"/>
              </w:rPr>
              <w:t xml:space="preserve"> e a </w:t>
            </w:r>
            <w:r>
              <w:rPr>
                <w:b/>
                <w:bCs/>
                <w:sz w:val="16"/>
                <w:szCs w:val="16"/>
              </w:rPr>
              <w:t xml:space="preserve">penicilina profilática</w:t>
            </w:r>
            <w:r>
              <w:rPr>
                <w:sz w:val="16"/>
                <w:szCs w:val="16"/>
              </w:rPr>
              <w:t xml:space="preserve"> + vacinas mudaram essa história.</w:t>
            </w:r>
          </w:p>
        </w:tc>
      </w:tr>
    </w:tbl>
    <w:p/>
    <w:p>
      <w:pPr>
        <w:pStyle w:val="Ttulo4"/>
      </w:pPr>
      <w:r>
        <w:rPr/>
        <w:t xml:space="preserve">Manifestações clínicas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Anemia hemolítica crônica:</w:t>
      </w:r>
      <w:r>
        <w:rPr/>
        <w:t xml:space="preserve"> Hb basal em geral de 6 a 9 g/dL na SS, normocítica, com reticulocitose; icterícia e </w:t>
      </w:r>
      <w:r>
        <w:rPr>
          <w:b/>
          <w:bCs/>
        </w:rPr>
        <w:t xml:space="preserve">litíase biliar</w:t>
      </w:r>
      <w:r>
        <w:rPr/>
        <w:t xml:space="preserve"> (cálculos de bilirrubinato).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Dactilite (síndrome mão-pé):</w:t>
      </w:r>
      <w:r>
        <w:rPr/>
        <w:t xml:space="preserve"> edema doloroso de mãos e pés em lactentes de 6 meses a 2 anos; muitas vezes é a </w:t>
      </w:r>
      <w:r>
        <w:rPr>
          <w:b/>
          <w:bCs/>
        </w:rPr>
        <w:t xml:space="preserve">primeira manifestação</w:t>
      </w:r>
      <w:r>
        <w:rPr/>
        <w:t xml:space="preserve">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Crises dolorosas (vaso-oclusivas):</w:t>
      </w:r>
      <w:r>
        <w:rPr/>
        <w:t xml:space="preserve"> a manifestação mais frequente; ossos longos, coluna, tórax e abdome.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Esplenomegalia</w:t>
      </w:r>
      <w:r>
        <w:rPr/>
        <w:t xml:space="preserve"> no lactente, que some com a autoesplenectomia (na SC o baço pode persistir).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Rim:</w:t>
      </w:r>
      <w:r>
        <w:rPr/>
        <w:t xml:space="preserve"> hipostenúria (enurese, desidratação fácil), hematúria, albuminúria e doença renal crônica.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Osso:</w:t>
      </w:r>
      <w:r>
        <w:rPr/>
        <w:t xml:space="preserve"> necrose avascular da cabeça do fêmur e do úmero, osteomielite.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Olho:</w:t>
      </w:r>
      <w:r>
        <w:rPr/>
        <w:t xml:space="preserve"> retinopatia proliferativa (mais na SC).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Pele:</w:t>
      </w:r>
      <w:r>
        <w:rPr/>
        <w:t xml:space="preserve"> úlceras maleolares. </w:t>
      </w:r>
      <w:r>
        <w:rPr>
          <w:b/>
          <w:bCs/>
        </w:rPr>
        <w:t xml:space="preserve">Pulmão:</w:t>
      </w:r>
      <w:r>
        <w:rPr/>
        <w:t xml:space="preserve"> hipertensão pulmonar. </w:t>
      </w:r>
      <w:r>
        <w:rPr>
          <w:b/>
          <w:bCs/>
        </w:rPr>
        <w:t xml:space="preserve">Pênis:</w:t>
      </w:r>
      <w:r>
        <w:rPr/>
        <w:t xml:space="preserve"> priapismo.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Crescimento:</w:t>
      </w:r>
      <w:r>
        <w:rPr/>
        <w:t xml:space="preserve"> baixo peso, atraso puberal.</w:t>
      </w:r>
    </w:p>
    <w:p>
      <w:pPr>
        <w:pStyle w:val="Ttulo4"/>
      </w:pPr>
      <w:r>
        <w:rPr/>
        <w:t xml:space="preserve">Diagnóstico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Triagem neonatal</w:t>
      </w:r>
      <w:r>
        <w:rPr/>
        <w:t xml:space="preserve"> (teste do pezinho) e confirmação por </w:t>
      </w:r>
      <w:r>
        <w:rPr>
          <w:b/>
          <w:bCs/>
        </w:rPr>
        <w:t xml:space="preserve">eletroforese de hemoglobina</w:t>
      </w:r>
      <w:r>
        <w:rPr/>
        <w:t xml:space="preserve"> ou </w:t>
      </w:r>
      <w:r>
        <w:rPr>
          <w:b/>
          <w:bCs/>
        </w:rPr>
        <w:t xml:space="preserve">HPLC</w:t>
      </w:r>
      <w:r>
        <w:rPr/>
        <w:t xml:space="preserve">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Hemograma:</w:t>
      </w:r>
      <w:r>
        <w:rPr/>
        <w:t xml:space="preserve"> anemia normocítica (microcitose sugere S/β-talassemia ou ferropenia associada), reticulocitose, leucocitose e plaquetose discretas.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Esfregaço:</w:t>
      </w:r>
      <w:r>
        <w:rPr/>
        <w:t xml:space="preserve"> drepanócitos, células em alvo, corpúsculos de Howell-Jolly (asplenia).</w:t>
      </w:r>
    </w:p>
    <w:p>
      <w:pPr>
        <w:numPr>
          <w:ilvl w:val="0"/>
          <w:numId w:val="1"/>
        </w:numPr>
      </w:pPr>
      <w:r>
        <w:rPr/>
        <w:t xml:space="preserve">Teste de falcização e solubilidade </w:t>
      </w:r>
      <w:r>
        <w:rPr>
          <w:b/>
          <w:bCs/>
        </w:rPr>
        <w:t xml:space="preserve">não</w:t>
      </w:r>
      <w:r>
        <w:rPr/>
        <w:t xml:space="preserve"> distinguem traço de doença: o diagnóstico é pela eletroforese/HPLC.</w:t>
      </w:r>
    </w:p>
    <w:p>
      <w:pPr>
        <w:pStyle w:val="Ttulo4"/>
      </w:pPr>
      <w:r>
        <w:rPr/>
        <w:t xml:space="preserve">Complicações agudas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6</w:t>
      </w:r>
      <w:r>
        <w:rPr>
          <w:color w:val="921827"/>
          <w:sz w:val="18"/>
          <w:szCs w:val="18"/>
        </w:rPr>
        <w:t xml:space="preserve"> – Complicações agudas da doença falciforme e conduta inicial</w:t>
      </w:r>
    </w:p>
    <w:tbl>
      <w:tblPr>
        <w:tblW w:w="9900" w:type="dxa"/>
        <w:tblLayout w:type="fixed"/>
      </w:tblPr>
      <w:tblGrid>
        <w:gridCol w:w="2300"/>
        <w:gridCol w:w="3500"/>
        <w:gridCol w:w="4100"/>
      </w:tblGrid>
      <w:tr>
        <w:trPr>
          <w:tblHeader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Complicação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reconhecer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Febre / infecção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Febre em criança com DF; risco de sepse fulminante por pneumococo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Avaliação imediata, hemograma, hemocultura, </w:t>
            </w:r>
            <w:r>
              <w:rPr>
                <w:b/>
                <w:bCs/>
                <w:sz w:val="18"/>
                <w:szCs w:val="18"/>
              </w:rPr>
              <w:t xml:space="preserve">ceftriaxona</w:t>
            </w:r>
            <w:r>
              <w:rPr>
                <w:sz w:val="18"/>
                <w:szCs w:val="18"/>
              </w:rPr>
              <w:t xml:space="preserve"> empírica sem esperar exames; internar se toxemia, &lt; 1 ano ou sinais de gravidade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Crise dolorosa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Dor óssea/abdominal sem outra causa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Analgesia rápida e escalonada (ver abaixo), hidratação sem excesso, aquecimento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Síndrome torácica aguda (STA)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Infiltrado pulmonar novo</w:t>
            </w:r>
            <w:r>
              <w:rPr>
                <w:sz w:val="18"/>
                <w:szCs w:val="18"/>
              </w:rPr>
              <w:t xml:space="preserve"> + febre, dor torácica, tosse, taquipneia ou hipoxemia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Ceftriaxona + macrolídeo, O₂ se SatO₂ &lt; 95%, analgesia, espirometria de incentivo, </w:t>
            </w:r>
            <w:r>
              <w:rPr>
                <w:b/>
                <w:bCs/>
                <w:sz w:val="18"/>
                <w:szCs w:val="18"/>
              </w:rPr>
              <w:t xml:space="preserve">transfusão</w:t>
            </w:r>
            <w:r>
              <w:rPr>
                <w:sz w:val="18"/>
                <w:szCs w:val="18"/>
              </w:rPr>
              <w:t xml:space="preserve"> (simples ou exsanguineotransfusão se grave)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Sequestro esplênico agudo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Crianças pequenas: </w:t>
            </w:r>
            <w:r>
              <w:rPr>
                <w:b/>
                <w:bCs/>
                <w:sz w:val="18"/>
                <w:szCs w:val="18"/>
              </w:rPr>
              <w:t xml:space="preserve">baço aumenta de repente</w:t>
            </w:r>
            <w:r>
              <w:rPr>
                <w:sz w:val="18"/>
                <w:szCs w:val="18"/>
              </w:rPr>
              <w:t xml:space="preserve"> + Hb cai ≥ 2 g/dL do basal; risco de choque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Volume e </w:t>
            </w:r>
            <w:r>
              <w:rPr>
                <w:b/>
                <w:bCs/>
                <w:sz w:val="18"/>
                <w:szCs w:val="18"/>
              </w:rPr>
              <w:t xml:space="preserve">transfusão em pequenas alíquotas</w:t>
            </w:r>
            <w:r>
              <w:rPr>
                <w:sz w:val="18"/>
                <w:szCs w:val="18"/>
              </w:rPr>
              <w:t xml:space="preserve"> (o baço devolve sangue); ensinar a família a palpar o baço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Crise aplástica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Queda de Hb com </w:t>
            </w:r>
            <w:r>
              <w:rPr>
                <w:b/>
                <w:bCs/>
                <w:sz w:val="18"/>
                <w:szCs w:val="18"/>
              </w:rPr>
              <w:t xml:space="preserve">reticulócitos baixos</w:t>
            </w:r>
            <w:r>
              <w:rPr>
                <w:sz w:val="18"/>
                <w:szCs w:val="18"/>
              </w:rPr>
              <w:t xml:space="preserve">; causa típica: </w:t>
            </w:r>
            <w:r>
              <w:rPr>
                <w:b/>
                <w:bCs/>
                <w:sz w:val="18"/>
                <w:szCs w:val="18"/>
              </w:rPr>
              <w:t xml:space="preserve">parvovírus B19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Transfusão; isolar de gestantes e imunossuprimidos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AVC isquêmico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Déficit focal, convulsão, cefaleia intensa (pico na infância)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Imagem urgente e </w:t>
            </w:r>
            <w:r>
              <w:rPr>
                <w:b/>
                <w:bCs/>
                <w:sz w:val="18"/>
                <w:szCs w:val="18"/>
              </w:rPr>
              <w:t xml:space="preserve">exsanguineotransfusão</w:t>
            </w:r>
            <w:r>
              <w:rPr>
                <w:sz w:val="18"/>
                <w:szCs w:val="18"/>
              </w:rPr>
              <w:t xml:space="preserve"> (meta HbS &lt; 30%)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Priapismo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Ereção dolorosa e prolongada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&gt; 4 h é emergência: analgesia, hidratação e urologia (aspiração/irrigação com fenilefrina)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Colecistite / colangite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Dor em hipocôndrio direito, febre, icterícia que piora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Antibiótico e colecistectomia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Brasil. MS, condutas básicas (ref. 1); NHLBI 2014 (ref. 3); ASH 2020 (refs. 4 e 5).</w:t>
      </w:r>
    </w:p>
    <w:p>
      <w:pPr>
        <w:jc w:val="center"/>
      </w:pPr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23_fluxo_pa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6"/>
          <w:szCs w:val="16"/>
        </w:rPr>
        <w:t xml:space="preserve">Figura 2</w:t>
      </w:r>
      <w:r>
        <w:rPr>
          <w:color w:val="921827"/>
          <w:sz w:val="16"/>
          <w:szCs w:val="16"/>
        </w:rPr>
        <w:t xml:space="preserve">: Pronto-atendimento na doença falciforme</w:t>
      </w:r>
    </w:p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Fluxograma MedSum elaborado a partir de MS (ref. 1) e NHLBI (ref. 3).</w:t>
      </w:r>
    </w:p>
    <w:p>
      <w:pPr>
        <w:pStyle w:val="Ttulo5"/>
      </w:pPr>
      <w:r>
        <w:rPr/>
        <w:t xml:space="preserve">Crise dolorosa: tratamento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Rapidez:</w:t>
      </w:r>
      <w:r>
        <w:rPr/>
        <w:t xml:space="preserve"> analgesia em até </w:t>
      </w:r>
      <w:r>
        <w:rPr>
          <w:b/>
          <w:bCs/>
        </w:rPr>
        <w:t xml:space="preserve">60 minutos</w:t>
      </w:r>
      <w:r>
        <w:rPr/>
        <w:t xml:space="preserve"> da chegada e reavaliação a cada 15 a 30 minutos.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Dor leve a moderada:</w:t>
      </w:r>
      <w:r>
        <w:rPr/>
        <w:t xml:space="preserve"> dipirona ou paracetamol + anti-inflamatório (atenção à função renal).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Dor intensa:</w:t>
      </w:r>
      <w:r>
        <w:rPr/>
        <w:t xml:space="preserve"> </w:t>
      </w:r>
      <w:r>
        <w:rPr>
          <w:b/>
          <w:bCs/>
        </w:rPr>
        <w:t xml:space="preserve">opioide</w:t>
      </w:r>
      <w:r>
        <w:rPr/>
        <w:t xml:space="preserve"> (morfina) em doses programadas ou por bomba de analgesia controlada pelo paciente.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Hidratação:</w:t>
      </w:r>
      <w:r>
        <w:rPr/>
        <w:t xml:space="preserve"> oral ou venosa de manutenção; </w:t>
      </w:r>
      <w:r>
        <w:rPr>
          <w:b/>
          <w:bCs/>
        </w:rPr>
        <w:t xml:space="preserve">evite hiper-hidratação</w:t>
      </w:r>
      <w:r>
        <w:rPr/>
        <w:t xml:space="preserve"> (risco de STA e edema pulmonar).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Espirometria de incentivo</w:t>
      </w:r>
      <w:r>
        <w:rPr/>
        <w:t xml:space="preserve"> para prevenir STA em dor torácica ou abdominal.</w:t>
      </w:r>
    </w:p>
    <w:p>
      <w:pPr>
        <w:numPr>
          <w:ilvl w:val="0"/>
          <w:numId w:val="1"/>
        </w:numPr>
      </w:pPr>
      <w:r>
        <w:rPr/>
        <w:t xml:space="preserve">O₂ apenas se hipoxemia. </w:t>
      </w:r>
      <w:r>
        <w:rPr>
          <w:b/>
          <w:bCs/>
        </w:rPr>
        <w:t xml:space="preserve">Não transfunda</w:t>
      </w:r>
      <w:r>
        <w:rPr/>
        <w:t xml:space="preserve"> crise dolorosa não complicada.</w:t>
      </w:r>
    </w:p>
    <w:tbl>
      <w:tblPr>
        <w:tblW w:w="9900" w:type="dxa"/>
        <w:tblLayout w:type="fixed"/>
      </w:tblPr>
      <w:tblGrid>
        <w:gridCol w:w="9900"/>
      </w:tblGrid>
      <w:tr>
        <w:trPr>
          <w:cantSplit/>
        </w:trPr>
        <w:tc>
          <w:tcPr>
            <w:tcW w:w="990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8EDE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/>
              <w:spacing w:after="20" w:line="276" w:lineRule="auto"/>
              <w:jc w:val="left"/>
            </w:pPr>
            <w:r>
              <w:rPr>
                <w:b/>
                <w:bCs/>
                <w:color w:val="921827"/>
                <w:sz w:val="16"/>
                <w:szCs w:val="16"/>
              </w:rPr>
              <w:t xml:space="preserve">Ponto-chave</w:t>
            </w:r>
          </w:p>
          <w:p>
            <w:pPr>
              <w:spacing w:after="40" w:line="276" w:lineRule="auto"/>
            </w:pPr>
            <w:r>
              <w:rPr>
                <w:sz w:val="16"/>
                <w:szCs w:val="16"/>
              </w:rPr>
              <w:t xml:space="preserve">A STA é a principal causa de morte em adultos com DF e muitas vezes começa como uma crise dolorosa comum. Reavalie o tórax todos os dias de internação.</w:t>
            </w:r>
          </w:p>
        </w:tc>
      </w:tr>
    </w:tbl>
    <w:p/>
    <w:p>
      <w:pPr>
        <w:pStyle w:val="Ttulo4"/>
      </w:pPr>
      <w:r>
        <w:rPr/>
        <w:t xml:space="preserve">Seguimento e prevenção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7</w:t>
      </w:r>
      <w:r>
        <w:rPr>
          <w:color w:val="921827"/>
          <w:sz w:val="18"/>
          <w:szCs w:val="18"/>
        </w:rPr>
        <w:t xml:space="preserve"> – Cuidados de rotina na doença falciforme</w:t>
      </w:r>
    </w:p>
    <w:tbl>
      <w:tblPr>
        <w:tblW w:w="9900" w:type="dxa"/>
        <w:tblLayout w:type="fixed"/>
      </w:tblPr>
      <w:tblGrid>
        <w:gridCol w:w="2600"/>
        <w:gridCol w:w="7300"/>
      </w:tblGrid>
      <w:tr>
        <w:trPr>
          <w:tblHeader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fazer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Penicilina profilática</w:t>
            </w:r>
          </w:p>
        </w:tc>
        <w:tc>
          <w:tcPr>
            <w:tcW w:w="7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Dos </w:t>
            </w:r>
            <w:r>
              <w:rPr>
                <w:b/>
                <w:bCs/>
                <w:sz w:val="18"/>
                <w:szCs w:val="18"/>
              </w:rPr>
              <w:t xml:space="preserve">3 meses aos 5 anos</w:t>
            </w:r>
            <w:r>
              <w:rPr>
                <w:sz w:val="18"/>
                <w:szCs w:val="18"/>
              </w:rPr>
              <w:t xml:space="preserve">: penicilina V oral 125 mg 12/12 h até 3 anos e 250 mg 12/12 h dos 3 aos 5 anos, </w:t>
            </w:r>
            <w:r>
              <w:rPr>
                <w:b/>
                <w:bCs/>
                <w:sz w:val="18"/>
                <w:szCs w:val="18"/>
              </w:rPr>
              <w:t xml:space="preserve">ou</w:t>
            </w:r>
            <w:r>
              <w:rPr>
                <w:sz w:val="18"/>
                <w:szCs w:val="18"/>
              </w:rPr>
              <w:t xml:space="preserve"> penicilina benzatina 50.000 UI/kg IM a cada 21 dias. Alergia: eritromicina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Vacinas</w:t>
            </w:r>
          </w:p>
        </w:tc>
        <w:tc>
          <w:tcPr>
            <w:tcW w:w="7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Calendário completo + especiais no CRIE: pneumocócicas (conjugada e polissacarídica 23-valente), meningocócicas, Haemophilus, influenza anual e hepatite B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Ácido fólico</w:t>
            </w:r>
          </w:p>
        </w:tc>
        <w:tc>
          <w:tcPr>
            <w:tcW w:w="7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Recomendado na rotina pelo manual do MS (hemólise crônica aumenta a demanda)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Doppler transcraniano</w:t>
            </w:r>
          </w:p>
        </w:tc>
        <w:tc>
          <w:tcPr>
            <w:tcW w:w="7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Anual dos </w:t>
            </w:r>
            <w:r>
              <w:rPr>
                <w:b/>
                <w:bCs/>
                <w:sz w:val="18"/>
                <w:szCs w:val="18"/>
              </w:rPr>
              <w:t xml:space="preserve">2 aos 16 anos</w:t>
            </w:r>
            <w:r>
              <w:rPr>
                <w:sz w:val="18"/>
                <w:szCs w:val="18"/>
              </w:rPr>
              <w:t xml:space="preserve"> (SS e S/β⁰). Velocidade </w:t>
            </w:r>
            <w:r>
              <w:rPr>
                <w:b/>
                <w:bCs/>
                <w:sz w:val="18"/>
                <w:szCs w:val="18"/>
              </w:rPr>
              <w:t xml:space="preserve">≥ 200 cm/s</w:t>
            </w:r>
            <w:r>
              <w:rPr>
                <w:sz w:val="18"/>
                <w:szCs w:val="18"/>
              </w:rPr>
              <w:t xml:space="preserve"> = alto risco de AVC → programa de transfusão crônica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Hidroxiureia</w:t>
            </w:r>
          </w:p>
        </w:tc>
        <w:tc>
          <w:tcPr>
            <w:tcW w:w="7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Aumenta a HbF: reduz crises, STA, internações, transfusões e mortalidade (ver Quadro 1)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Orientação à família</w:t>
            </w:r>
          </w:p>
        </w:tc>
        <w:tc>
          <w:tcPr>
            <w:tcW w:w="7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Hidratação, evitar frio e esforço extremo, procurar o serviço na febre, palpar o baço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Rastreios</w:t>
            </w:r>
          </w:p>
        </w:tc>
        <w:tc>
          <w:tcPr>
            <w:tcW w:w="7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Retina (fundo de olho), urina (albuminúria), ecocardiograma, avaliação de quadril e vesícula conforme a idade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Brasil. MS, condutas básicas (ref. 1) e PCDT da doença falciforme (ref. 2); ASH 2020 (ref. 5).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Quadro 1</w:t>
      </w:r>
      <w:r>
        <w:rPr>
          <w:color w:val="921827"/>
          <w:sz w:val="18"/>
          <w:szCs w:val="18"/>
        </w:rPr>
        <w:t xml:space="preserve"> – Hidroxiureia: referência brasileira × internacional</w:t>
      </w:r>
    </w:p>
    <w:tbl>
      <w:tblPr>
        <w:tblW w:w="9900" w:type="dxa"/>
        <w:tblLayout w:type="fixed"/>
      </w:tblPr>
      <w:tblGrid>
        <w:gridCol w:w="2000"/>
        <w:gridCol w:w="4100"/>
        <w:gridCol w:w="3800"/>
      </w:tblGrid>
      <w:tr>
        <w:trPr>
          <w:tblHeader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Referência brasileira (prevalece)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Referência internacional</w:t>
            </w:r>
          </w:p>
        </w:tc>
      </w:tr>
      <w:tr>
        <w:trPr>
          <w:cantSplit/>
        </w:trPr>
        <w:tc>
          <w:tcPr>
            <w:tcW w:w="2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Quando iniciar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PCDT do MS: crianças </w:t>
            </w:r>
            <w:r>
              <w:rPr>
                <w:b/>
                <w:bCs/>
                <w:sz w:val="18"/>
                <w:szCs w:val="18"/>
              </w:rPr>
              <w:t xml:space="preserve">a partir de 2 anos</w:t>
            </w:r>
            <w:r>
              <w:rPr>
                <w:sz w:val="18"/>
                <w:szCs w:val="18"/>
              </w:rPr>
              <w:t xml:space="preserve"> e adultos que preencham critérios clínicos (crises frequentes, STA, AVC/Doppler alterado, anemia grave, entre outros)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NHLBI 2014/ASH: </w:t>
            </w:r>
            <w:r>
              <w:rPr>
                <w:b/>
                <w:bCs/>
                <w:sz w:val="18"/>
                <w:szCs w:val="18"/>
              </w:rPr>
              <w:t xml:space="preserve">oferecer a partir dos 9 meses</w:t>
            </w:r>
            <w:r>
              <w:rPr>
                <w:sz w:val="18"/>
                <w:szCs w:val="18"/>
              </w:rPr>
              <w:t xml:space="preserve"> a todos com SS e S/β⁰, mesmo sem sintomas</w:t>
            </w:r>
          </w:p>
        </w:tc>
      </w:tr>
      <w:tr>
        <w:trPr>
          <w:cantSplit/>
        </w:trPr>
        <w:tc>
          <w:tcPr>
            <w:tcW w:w="2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Monitorização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Hemograma periódico (risco de mielossupressão); ajuste de dose pela contagem de neutrófilos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Igual; titulação até a dose máxima tolerada</w:t>
            </w:r>
          </w:p>
        </w:tc>
      </w:tr>
      <w:tr>
        <w:trPr>
          <w:cantSplit/>
        </w:trPr>
        <w:tc>
          <w:tcPr>
            <w:tcW w:w="2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Cuidados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Contracepção eficaz (teratogênica)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Igual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Fontes: Brasil. MS, PCDT da doença falciforme (ref. 2); NHLBI 2014 (ref. 3). Na prova brasileira, siga o PCDT.</w:t>
      </w:r>
    </w:p>
    <w:p>
      <w:pPr>
        <w:pStyle w:val="Ttulo5"/>
      </w:pPr>
      <w:r>
        <w:rPr/>
        <w:t xml:space="preserve">Transfusão e terapias que mudam a doença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Transfusão:</w:t>
      </w:r>
      <w:r>
        <w:rPr/>
        <w:t xml:space="preserve"> indicada em STA, AVC, sequestro esplênico, crise aplástica e no preparo cirúrgico. Em transfusão crônica, a meta é </w:t>
      </w:r>
      <w:r>
        <w:rPr>
          <w:b/>
          <w:bCs/>
        </w:rPr>
        <w:t xml:space="preserve">HbS &lt; 30%</w:t>
      </w:r>
      <w:r>
        <w:rPr/>
        <w:t xml:space="preserve">. Evite Hb &gt; 10 a 11 g/dL (hiperviscosidade).</w:t>
      </w:r>
    </w:p>
    <w:p>
      <w:pPr>
        <w:numPr>
          <w:ilvl w:val="0"/>
          <w:numId w:val="1"/>
        </w:numPr>
      </w:pPr>
      <w:r>
        <w:rPr/>
        <w:t xml:space="preserve">Use hemácias com </w:t>
      </w:r>
      <w:r>
        <w:rPr>
          <w:b/>
          <w:bCs/>
        </w:rPr>
        <w:t xml:space="preserve">fenotipagem estendida</w:t>
      </w:r>
      <w:r>
        <w:rPr/>
        <w:t xml:space="preserve"> (menos aloimunização) e trate a </w:t>
      </w:r>
      <w:r>
        <w:rPr>
          <w:b/>
          <w:bCs/>
        </w:rPr>
        <w:t xml:space="preserve">sobrecarga de ferro</w:t>
      </w:r>
      <w:r>
        <w:rPr/>
        <w:t xml:space="preserve"> com quelantes (deferasirox, deferoxamina).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Transplante de células-tronco hematopoéticas</w:t>
      </w:r>
      <w:r>
        <w:rPr/>
        <w:t xml:space="preserve"> (doador aparentado compatível): única terapia curativa disponível no SUS hoje.</w:t>
      </w:r>
    </w:p>
    <w:p>
      <w:pPr>
        <w:numPr>
          <w:ilvl w:val="0"/>
          <w:numId w:val="1"/>
        </w:numPr>
      </w:pPr>
      <w:r>
        <w:rPr/>
        <w:t xml:space="preserve">Outras: L-glutamina e crizanlizumabe (anti-P-selectina) em outros países; </w:t>
      </w:r>
      <w:r>
        <w:rPr>
          <w:b/>
          <w:bCs/>
        </w:rPr>
        <w:t xml:space="preserve">terapias gênicas</w:t>
      </w:r>
      <w:r>
        <w:rPr/>
        <w:t xml:space="preserve"> aprovadas no exterior desde 2023. O voxelotor foi retirado do mercado em 2024 por segurança.</w:t>
      </w:r>
    </w:p>
    <w:p>
      <w:pPr>
        <w:pStyle w:val="Ttulo4"/>
      </w:pPr>
      <w:r>
        <w:rPr/>
        <w:t xml:space="preserve">Traço falciforme</w:t>
      </w:r>
    </w:p>
    <w:p>
      <w:r>
        <w:rPr/>
        <w:t xml:space="preserve">O portador do traço (HbAS) tem cerca de 40% de HbS e </w:t>
      </w:r>
      <w:r>
        <w:rPr>
          <w:b/>
          <w:bCs/>
        </w:rPr>
        <w:t xml:space="preserve">não tem anemia nem crises</w:t>
      </w:r>
      <w:r>
        <w:rPr/>
        <w:t xml:space="preserve">. Merece </w:t>
      </w:r>
      <w:r>
        <w:rPr>
          <w:b/>
          <w:bCs/>
        </w:rPr>
        <w:t xml:space="preserve">aconselhamento genético</w:t>
      </w:r>
      <w:r>
        <w:rPr/>
        <w:t xml:space="preserve"> (dois portadores têm 25% de chance de filho com DF por gestação). Raramente pode ter hematúria, hipostenúria e rabdomiólise em esforço extremo com desidratação.</w:t>
      </w:r>
    </w:p>
    <w:tbl>
      <w:tblPr>
        <w:tblW w:w="9900" w:type="dxa"/>
        <w:tblLayout w:type="fixed"/>
      </w:tblPr>
      <w:tblGrid>
        <w:gridCol w:w="9900"/>
      </w:tblGrid>
      <w:tr>
        <w:trPr>
          <w:cantSplit/>
        </w:trPr>
        <w:tc>
          <w:tcPr>
            <w:tcW w:w="9900" w:type="dxa"/>
            <w:tcBorders>
              <w:top w:val="nil"/>
              <w:left w:val="single" w:sz="24" w:space="0" w:color="A8771C"/>
              <w:bottom w:val="nil"/>
              <w:right w:val="nil"/>
            </w:tcBorders>
            <w:shd w:val="clear" w:color="auto" w:fill="FBF4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/>
              <w:spacing w:after="20" w:line="276" w:lineRule="auto"/>
              <w:jc w:val="left"/>
            </w:pPr>
            <w:r>
              <w:rPr>
                <w:b/>
                <w:bCs/>
                <w:color w:val="A8771C"/>
                <w:sz w:val="16"/>
                <w:szCs w:val="16"/>
              </w:rPr>
              <w:t xml:space="preserve">Aplicação aos casos da SP</w:t>
            </w:r>
          </w:p>
          <w:p>
            <w:pPr>
              <w:spacing w:after="40" w:line="276" w:lineRule="auto"/>
            </w:pPr>
            <w:r>
              <w:rPr>
                <w:sz w:val="16"/>
                <w:szCs w:val="16"/>
              </w:rPr>
              <w:t xml:space="preserve">Ao ler o caso da SP, procure as pistas que separam as complicações: </w:t>
            </w:r>
            <w:r>
              <w:rPr>
                <w:b/>
                <w:bCs/>
                <w:sz w:val="16"/>
                <w:szCs w:val="16"/>
              </w:rPr>
              <w:t xml:space="preserve">febre</w:t>
            </w:r>
            <w:r>
              <w:rPr>
                <w:sz w:val="16"/>
                <w:szCs w:val="16"/>
              </w:rPr>
              <w:t xml:space="preserve"> (infecção até prova em contrário), </w:t>
            </w:r>
            <w:r>
              <w:rPr>
                <w:b/>
                <w:bCs/>
                <w:sz w:val="16"/>
                <w:szCs w:val="16"/>
              </w:rPr>
              <w:t xml:space="preserve">baço</w:t>
            </w:r>
            <w:r>
              <w:rPr>
                <w:sz w:val="16"/>
                <w:szCs w:val="16"/>
              </w:rPr>
              <w:t xml:space="preserve"> (sequestro), </w:t>
            </w:r>
            <w:r>
              <w:rPr>
                <w:b/>
                <w:bCs/>
                <w:sz w:val="16"/>
                <w:szCs w:val="16"/>
              </w:rPr>
              <w:t xml:space="preserve">reticulócitos</w:t>
            </w:r>
            <w:r>
              <w:rPr>
                <w:sz w:val="16"/>
                <w:szCs w:val="16"/>
              </w:rPr>
              <w:t xml:space="preserve"> (aplásica × hemólise), </w:t>
            </w:r>
            <w:r>
              <w:rPr>
                <w:b/>
                <w:bCs/>
                <w:sz w:val="16"/>
                <w:szCs w:val="16"/>
              </w:rPr>
              <w:t xml:space="preserve">tórax</w:t>
            </w:r>
            <w:r>
              <w:rPr>
                <w:sz w:val="16"/>
                <w:szCs w:val="16"/>
              </w:rPr>
              <w:t xml:space="preserve"> (STA) e </w:t>
            </w:r>
            <w:r>
              <w:rPr>
                <w:b/>
                <w:bCs/>
                <w:sz w:val="16"/>
                <w:szCs w:val="16"/>
              </w:rPr>
              <w:t xml:space="preserve">déficit focal</w:t>
            </w:r>
            <w:r>
              <w:rPr>
                <w:sz w:val="16"/>
                <w:szCs w:val="16"/>
              </w:rPr>
              <w:t xml:space="preserve"> (AVC).</w:t>
            </w:r>
          </w:p>
          <w:p>
            <w:pPr>
              <w:spacing w:after="40" w:line="276" w:lineRule="auto"/>
            </w:pPr>
            <w:r>
              <w:rPr>
                <w:sz w:val="16"/>
                <w:szCs w:val="16"/>
              </w:rPr>
              <w:t xml:space="preserve">Pergunte sempre: qual o genótipo, qual a Hb basal, está em uso de hidroxiureia e penicilina, vacinas em dia, quando foi o último Doppler.</w:t>
            </w:r>
          </w:p>
        </w:tc>
      </w:tr>
    </w:tbl>
    <w:p/>
    <w:p>
      <w:pPr>
        <w:spacing w:after="0" w:line="240" w:lineRule="auto"/>
      </w:pPr>
      <w:r>
        <w:br w:type="page"/>
      </w:r>
    </w:p>
    <w:p w14:paraId="14182F58" w14:textId="77777777" w:rsidR="002E369D" w:rsidRDefault="00A87142">
      <w:pPr>
        <w:spacing w:line="259" w:lineRule="auto"/>
        <w:jc w:val="left"/>
      </w:pPr>
      <w:r>
        <w:rPr>
          <w:noProof/>
          <w:color w:val="921827"/>
        </w:rPr>
        <w:lastRenderedPageBreak/>
        <mc:AlternateContent>
          <mc:Choice Requires="wps">
            <w:drawing>
              <wp:anchor distT="0" distB="0" distL="114300" distR="114300" simplePos="0" relativeHeight="251651635" behindDoc="0" locked="0" layoutInCell="1" allowOverlap="1" wp14:anchorId="3C298F33" wp14:editId="216760BC">
                <wp:simplePos x="0" y="0"/>
                <wp:positionH relativeFrom="margin">
                  <wp:posOffset>805180</wp:posOffset>
                </wp:positionH>
                <wp:positionV relativeFrom="margin">
                  <wp:posOffset>-271780</wp:posOffset>
                </wp:positionV>
                <wp:extent cx="4719320" cy="1134110"/>
                <wp:effectExtent l="0" t="0" r="5080" b="0"/>
                <wp:wrapTopAndBottom/>
                <wp:docPr id="51" name="Tit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9320" cy="1134110"/>
                        </a:xfrm>
                        <a:prstGeom prst="roundRect">
                          <a:avLst/>
                        </a:prstGeom>
                        <a:solidFill>
                          <a:srgbClr val="92182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A59C9E" w14:textId="77777777" w:rsidR="002E369D" w:rsidRDefault="00A87142">
                            <w:pPr>
                              <w:pStyle w:val="Ttulo2"/>
                              <w:jc w:val="center"/>
                            </w:pPr>
                            <w:r>
                              <w:t>Talassemias</w:t>
                            </w:r>
                          </w:p>
                          <w:p w14:paraId="5776575A" w14:textId="77777777" w:rsidR="002E369D" w:rsidRDefault="00A8714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DESEQUILÍBRIO DAS CADEIAS DE GLOBINA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298F33" id="Titulo 51" o:spid="_x0000_s1026" style="position:absolute;margin-left:63.4pt;margin-top:-21.4pt;width:371.6pt;height:89.3pt;z-index:251651635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" fillcolor="#921827" stroked="f">
                <v:textbox>
                  <w:txbxContent>
                    <w:p w14:paraId="67A59C9E" w14:textId="77777777" w:rsidR="002E369D" w:rsidRDefault="00000000">
                      <w:pPr>
                        <w:pStyle w:val="Ttulo2"/>
                        <w:jc w:val="center"/>
                      </w:pPr>
                      <w:r>
                        <w:t>Talassemias</w:t>
                      </w:r>
                    </w:p>
                    <w:p w14:paraId="5776575A" w14:textId="77777777" w:rsidR="002E369D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  <w:t>DESEQUILÍBRIO DAS CADEIAS DE GLOBINA</w:t>
                      </w:r>
                    </w:p>
                  </w:txbxContent>
                </v:textbox>
                <w10:wrap type="topAndBottom" anchorx="margin" anchory="margin"/>
              </v:roundrect>
            </w:pict>
          </mc:Fallback>
        </mc:AlternateContent>
      </w:r>
    </w:p>
    <w:p>
      <w:pPr>
        <w:pStyle w:val="Ttulo3"/>
      </w:pPr>
      <w:r>
        <w:rPr/>
        <w:t xml:space="preserve">Talassemias</w:t>
      </w:r>
    </w:p>
    <w:p>
      <w:pPr>
        <w:pStyle w:val="Ttulo4"/>
      </w:pPr>
      <w:r>
        <w:rPr/>
        <w:t xml:space="preserve">Definição e fisiopatologia</w:t>
      </w:r>
    </w:p>
    <w:p>
      <w:r>
        <w:rPr/>
        <w:t xml:space="preserve">As talassemias são doenças hereditárias com </w:t>
      </w:r>
      <w:r>
        <w:rPr>
          <w:b/>
          <w:bCs/>
        </w:rPr>
        <w:t xml:space="preserve">redução ou ausência da síntese</w:t>
      </w:r>
      <w:r>
        <w:rPr/>
        <w:t xml:space="preserve"> de uma das cadeias da globina. A cadeia que sobra em excesso precipita dentro do eritroblasto e da hemácia, causando </w:t>
      </w:r>
      <w:r>
        <w:rPr>
          <w:b/>
          <w:bCs/>
        </w:rPr>
        <w:t xml:space="preserve">eritropoese ineficaz</w:t>
      </w:r>
      <w:r>
        <w:rPr/>
        <w:t xml:space="preserve"> (morte na medula) e </w:t>
      </w:r>
      <w:r>
        <w:rPr>
          <w:b/>
          <w:bCs/>
        </w:rPr>
        <w:t xml:space="preserve">hemólise</w:t>
      </w:r>
      <w:r>
        <w:rPr/>
        <w:t xml:space="preserve">. O resultado é uma anemia </w:t>
      </w:r>
      <w:r>
        <w:rPr>
          <w:b/>
          <w:bCs/>
        </w:rPr>
        <w:t xml:space="preserve">microcítica e hipocrômica</w:t>
      </w:r>
      <w:r>
        <w:rPr/>
        <w:t xml:space="preserve">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β-talassemia:</w:t>
      </w:r>
      <w:r>
        <w:rPr/>
        <w:t xml:space="preserve"> menos cadeia β (gene no cromossomo 11). Mais comum em descendentes de italianos, gregos e outros povos do Mediterrâneo, muito presentes no Sudeste do Brasil.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α-talassemia:</w:t>
      </w:r>
      <w:r>
        <w:rPr/>
        <w:t xml:space="preserve"> menos cadeia α (4 genes, 2 em cada cromossomo 16). Mais comum em descendentes de africanos e asiáticos.</w:t>
      </w:r>
    </w:p>
    <w:p>
      <w:pPr>
        <w:pStyle w:val="Ttulo4"/>
      </w:pPr>
      <w:r>
        <w:rPr/>
        <w:t xml:space="preserve">β-talassemia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8</w:t>
      </w:r>
      <w:r>
        <w:rPr>
          <w:color w:val="921827"/>
          <w:sz w:val="18"/>
          <w:szCs w:val="18"/>
        </w:rPr>
        <w:t xml:space="preserve"> – Formas clínicas da β-talassemia</w:t>
      </w:r>
    </w:p>
    <w:tbl>
      <w:tblPr>
        <w:tblW w:w="9900" w:type="dxa"/>
        <w:tblLayout w:type="fixed"/>
      </w:tblPr>
      <w:tblGrid>
        <w:gridCol w:w="2300"/>
        <w:gridCol w:w="3200"/>
        <w:gridCol w:w="4400"/>
      </w:tblGrid>
      <w:tr>
        <w:trPr>
          <w:tblHeader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Genética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Quadro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Menor (traço)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Um gene alterado (β/β⁰ ou β/β⁺)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Assintomática; Hb normal ou pouco baixa; </w:t>
            </w:r>
            <w:r>
              <w:rPr>
                <w:b/>
                <w:bCs/>
                <w:sz w:val="18"/>
                <w:szCs w:val="18"/>
              </w:rPr>
              <w:t xml:space="preserve">VCM muito baixo</w:t>
            </w:r>
            <w:r>
              <w:rPr>
                <w:sz w:val="18"/>
                <w:szCs w:val="18"/>
              </w:rPr>
              <w:t xml:space="preserve"> com hemácias normais ou aumentadas; </w:t>
            </w:r>
            <w:r>
              <w:rPr>
                <w:b/>
                <w:bCs/>
                <w:sz w:val="18"/>
                <w:szCs w:val="18"/>
              </w:rPr>
              <w:t xml:space="preserve">HbA2 &gt; 3,5%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Intermédia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Dois genes alterados, forma mais leve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Anemia moderada, transfusão ocasional; sobrecarga de ferro pela absorção intestinal aumentada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Maior (anemia de Cooley)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β⁰/β⁰ ou β⁰/β⁺ grave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Sintomas a partir de </w:t>
            </w:r>
            <w:r>
              <w:rPr>
                <w:b/>
                <w:bCs/>
                <w:sz w:val="18"/>
                <w:szCs w:val="18"/>
              </w:rPr>
              <w:t xml:space="preserve">6 a 24 meses</w:t>
            </w:r>
            <w:r>
              <w:rPr>
                <w:sz w:val="18"/>
                <w:szCs w:val="18"/>
              </w:rPr>
              <w:t xml:space="preserve">: anemia grave, hepatoesplenomegalia, deformidades ósseas (fácies típica, crânio "em escova"), atraso de crescimento; </w:t>
            </w:r>
            <w:r>
              <w:rPr>
                <w:b/>
                <w:bCs/>
                <w:sz w:val="18"/>
                <w:szCs w:val="18"/>
              </w:rPr>
              <w:t xml:space="preserve">dependente de transfusão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TIF 2021 (ref. 9); Hoffbrand (ref. 13).</w:t>
      </w:r>
    </w:p>
    <w:p>
      <w:pPr>
        <w:pStyle w:val="Ttulo5"/>
      </w:pPr>
      <w:r>
        <w:rPr/>
        <w:t xml:space="preserve">Tratamento da β-talassemia maior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Transfusões regulares</w:t>
      </w:r>
      <w:r>
        <w:rPr/>
        <w:t xml:space="preserve"> a cada 2 a 5 semanas, mantendo Hb pré-transfusional de </w:t>
      </w:r>
      <w:r>
        <w:rPr>
          <w:b/>
          <w:bCs/>
        </w:rPr>
        <w:t xml:space="preserve">9 a 10,5 g/dL</w:t>
      </w:r>
      <w:r>
        <w:rPr/>
        <w:t xml:space="preserve">: corrige a anemia e freia a eritropoese ineficaz (e as deformidades ósseas).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Quelação de ferro</w:t>
      </w:r>
      <w:r>
        <w:rPr/>
        <w:t xml:space="preserve"> (deferasirox, deferiprona, deferoxamina): a sobrecarga de ferro lesa coração, fígado e glândulas e é a principal causa de morte.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Ácido fólico</w:t>
      </w:r>
      <w:r>
        <w:rPr/>
        <w:t xml:space="preserve">; esplenectomia em casos selecionados (hiperesplenismo).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Transplante de células-tronco hematopoéticas:</w:t>
      </w:r>
      <w:r>
        <w:rPr/>
        <w:t xml:space="preserve"> curativo. Novas opções: luspatercepte e terapia gênica.</w:t>
      </w:r>
    </w:p>
    <w:p>
      <w:pPr>
        <w:pStyle w:val="Ttulo4"/>
      </w:pPr>
      <w:r>
        <w:rPr/>
        <w:t xml:space="preserve">α-talassemia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9</w:t>
      </w:r>
      <w:r>
        <w:rPr>
          <w:color w:val="921827"/>
          <w:sz w:val="18"/>
          <w:szCs w:val="18"/>
        </w:rPr>
        <w:t xml:space="preserve"> – Formas da α-talassemia conforme o número de genes perdidos</w:t>
      </w:r>
    </w:p>
    <w:tbl>
      <w:tblPr>
        <w:tblW w:w="9900" w:type="dxa"/>
        <w:tblLayout w:type="fixed"/>
      </w:tblPr>
      <w:tblGrid>
        <w:gridCol w:w="2000"/>
        <w:gridCol w:w="3000"/>
        <w:gridCol w:w="4900"/>
      </w:tblGrid>
      <w:tr>
        <w:trPr>
          <w:tblHeader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Genes α perdidos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Quadro</w:t>
            </w:r>
          </w:p>
        </w:tc>
      </w:tr>
      <w:tr>
        <w:trPr>
          <w:cantSplit/>
        </w:trPr>
        <w:tc>
          <w:tcPr>
            <w:tcW w:w="2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 de 4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Portador silencioso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Sem alterações</w:t>
            </w:r>
          </w:p>
        </w:tc>
      </w:tr>
      <w:tr>
        <w:trPr>
          <w:cantSplit/>
        </w:trPr>
        <w:tc>
          <w:tcPr>
            <w:tcW w:w="2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 de 4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Traço α-talassêmico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Microcitose leve, sem anemia ou com anemia leve; eletroforese do adulto normal (diagnóstico molecular ou por exclusão)</w:t>
            </w:r>
          </w:p>
        </w:tc>
      </w:tr>
      <w:tr>
        <w:trPr>
          <w:cantSplit/>
        </w:trPr>
        <w:tc>
          <w:tcPr>
            <w:tcW w:w="2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 de 4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Doença da hemoglobina H</w:t>
            </w:r>
            <w:r>
              <w:rPr>
                <w:sz w:val="18"/>
                <w:szCs w:val="18"/>
              </w:rPr>
              <w:t xml:space="preserve"> (β4)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Anemia hemolítica moderada, esplenomegalia, corpos de inclusão de HbH</w:t>
            </w:r>
          </w:p>
        </w:tc>
      </w:tr>
      <w:tr>
        <w:trPr>
          <w:cantSplit/>
        </w:trPr>
        <w:tc>
          <w:tcPr>
            <w:tcW w:w="2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 de 4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Hb Bart (γ4)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Hidropsia fetal</w:t>
            </w:r>
            <w:r>
              <w:rPr>
                <w:sz w:val="18"/>
                <w:szCs w:val="18"/>
              </w:rPr>
              <w:t xml:space="preserve">: incompatível com a vida sem transfusão intrauterina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Harrison (ref. 6); Hoffbrand (ref. 13).</w:t>
      </w:r>
    </w:p>
    <w:p>
      <w:pPr>
        <w:pStyle w:val="Ttulo4"/>
      </w:pPr>
      <w:r>
        <w:rPr/>
        <w:t xml:space="preserve">Traço talassêmico × anemia ferropriva</w:t>
      </w:r>
    </w:p>
    <w:p>
      <w:r>
        <w:rPr/>
        <w:t xml:space="preserve">As duas causam </w:t>
      </w:r>
      <w:r>
        <w:rPr>
          <w:b/>
          <w:bCs/>
        </w:rPr>
        <w:t xml:space="preserve">microcitose</w:t>
      </w:r>
      <w:r>
        <w:rPr/>
        <w:t xml:space="preserve">, e a confusão leva a tratar com ferro quem não precisa (e pode sobrecarregar). O </w:t>
      </w:r>
      <w:r>
        <w:rPr>
          <w:b/>
          <w:bCs/>
        </w:rPr>
        <w:t xml:space="preserve">índice de Mentzer</w:t>
      </w:r>
      <w:r>
        <w:rPr/>
        <w:t xml:space="preserve"> (VCM ÷ número de hemácias em milhões/µL) ajuda na triagem.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10</w:t>
      </w:r>
      <w:r>
        <w:rPr>
          <w:color w:val="921827"/>
          <w:sz w:val="18"/>
          <w:szCs w:val="18"/>
        </w:rPr>
        <w:t xml:space="preserve"> – Como diferenciar traço talassêmico de anemia ferropriva</w:t>
      </w:r>
    </w:p>
    <w:tbl>
      <w:tblPr>
        <w:tblW w:w="9900" w:type="dxa"/>
        <w:tblLayout w:type="fixed"/>
      </w:tblPr>
      <w:tblGrid>
        <w:gridCol w:w="2600"/>
        <w:gridCol w:w="3600"/>
        <w:gridCol w:w="3700"/>
      </w:tblGrid>
      <w:tr>
        <w:trPr>
          <w:tblHeader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Anemia ferropriva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Traço β-talassêmico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Hemácias (milhões/µL)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Baixas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Normais ou aumentadas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VCM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Baixo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Muito baixo para o grau de anemia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RDW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Aumentado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Normal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Índice de Mentzer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&gt; 13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&lt; 13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Ferritina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Baixa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Normal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Eletroforese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Normal (HbA2 pode cair)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HbA2 &gt; 3,5%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Hoffbrand (ref. 13). Se houver ferropenia associada, corrija o ferro e repita a HbA2.</w:t>
      </w:r>
    </w:p>
    <w:tbl>
      <w:tblPr>
        <w:tblW w:w="9900" w:type="dxa"/>
        <w:tblLayout w:type="fixed"/>
      </w:tblPr>
      <w:tblGrid>
        <w:gridCol w:w="9900"/>
      </w:tblGrid>
      <w:tr>
        <w:trPr>
          <w:cantSplit/>
        </w:trPr>
        <w:tc>
          <w:tcPr>
            <w:tcW w:w="990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8EDE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/>
              <w:spacing w:after="20" w:line="276" w:lineRule="auto"/>
              <w:jc w:val="left"/>
            </w:pPr>
            <w:r>
              <w:rPr>
                <w:b/>
                <w:bCs/>
                <w:color w:val="921827"/>
                <w:sz w:val="16"/>
                <w:szCs w:val="16"/>
              </w:rPr>
              <w:t xml:space="preserve">Ponto-chave</w:t>
            </w:r>
          </w:p>
          <w:p>
            <w:pPr>
              <w:spacing w:after="40" w:line="276" w:lineRule="auto"/>
            </w:pPr>
            <w:r>
              <w:rPr>
                <w:sz w:val="16"/>
                <w:szCs w:val="16"/>
              </w:rPr>
              <w:t xml:space="preserve">Microcitose com </w:t>
            </w:r>
            <w:r>
              <w:rPr>
                <w:b/>
                <w:bCs/>
                <w:sz w:val="16"/>
                <w:szCs w:val="16"/>
              </w:rPr>
              <w:t xml:space="preserve">ferritina normal</w:t>
            </w:r>
            <w:r>
              <w:rPr>
                <w:sz w:val="16"/>
                <w:szCs w:val="16"/>
              </w:rPr>
              <w:t xml:space="preserve"> e hemácias normais ou altas: pense em </w:t>
            </w:r>
            <w:r>
              <w:rPr>
                <w:b/>
                <w:bCs/>
                <w:sz w:val="16"/>
                <w:szCs w:val="16"/>
              </w:rPr>
              <w:t xml:space="preserve">traço talassêmico</w:t>
            </w:r>
            <w:r>
              <w:rPr>
                <w:sz w:val="16"/>
                <w:szCs w:val="16"/>
              </w:rPr>
              <w:t xml:space="preserve"> e peça eletroforese de hemoglobina antes de prescrever ferro.</w:t>
            </w:r>
          </w:p>
        </w:tc>
      </w:tr>
    </w:tbl>
    <w:p/>
    <w:p>
      <w:pPr>
        <w:spacing w:after="0" w:line="240" w:lineRule="auto"/>
      </w:pPr>
      <w:r>
        <w:br w:type="page"/>
      </w:r>
    </w:p>
    <w:p w14:paraId="14182F58" w14:textId="77777777" w:rsidR="002E369D" w:rsidRDefault="00A87142">
      <w:pPr>
        <w:spacing w:line="259" w:lineRule="auto"/>
        <w:jc w:val="left"/>
      </w:pPr>
      <w:r>
        <w:rPr>
          <w:noProof/>
          <w:color w:val="921827"/>
        </w:rPr>
        <w:lastRenderedPageBreak/>
        <mc:AlternateContent>
          <mc:Choice Requires="wps">
            <w:drawing>
              <wp:anchor distT="0" distB="0" distL="114300" distR="114300" simplePos="0" relativeHeight="251651635" behindDoc="0" locked="0" layoutInCell="1" allowOverlap="1" wp14:anchorId="3C298F33" wp14:editId="216760BC">
                <wp:simplePos x="0" y="0"/>
                <wp:positionH relativeFrom="margin">
                  <wp:posOffset>805180</wp:posOffset>
                </wp:positionH>
                <wp:positionV relativeFrom="margin">
                  <wp:posOffset>-271780</wp:posOffset>
                </wp:positionV>
                <wp:extent cx="4719320" cy="1134110"/>
                <wp:effectExtent l="0" t="0" r="5080" b="0"/>
                <wp:wrapTopAndBottom/>
                <wp:docPr id="51" name="Tit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9320" cy="1134110"/>
                        </a:xfrm>
                        <a:prstGeom prst="roundRect">
                          <a:avLst/>
                        </a:prstGeom>
                        <a:solidFill>
                          <a:srgbClr val="92182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A59C9E" w14:textId="77777777" w:rsidR="002E369D" w:rsidRDefault="00A87142">
                            <w:pPr>
                              <w:pStyle w:val="Ttulo2"/>
                              <w:jc w:val="center"/>
                            </w:pPr>
                            <w:r>
                              <w:t>Membranopatias e Enzimopatias</w:t>
                            </w:r>
                          </w:p>
                          <w:p w14:paraId="5776575A" w14:textId="77777777" w:rsidR="002E369D" w:rsidRDefault="00A8714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ESFEROCITOSE HEREDITÁRIA E DEFICIÊNCIA DE G6PD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298F33" id="Titulo 51" o:spid="_x0000_s1026" style="position:absolute;margin-left:63.4pt;margin-top:-21.4pt;width:371.6pt;height:89.3pt;z-index:251651635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" fillcolor="#921827" stroked="f">
                <v:textbox>
                  <w:txbxContent>
                    <w:p w14:paraId="67A59C9E" w14:textId="77777777" w:rsidR="002E369D" w:rsidRDefault="00000000">
                      <w:pPr>
                        <w:pStyle w:val="Ttulo2"/>
                        <w:jc w:val="center"/>
                      </w:pPr>
                      <w:r>
                        <w:t>Membranopatias e Enzimopatias</w:t>
                      </w:r>
                    </w:p>
                    <w:p w14:paraId="5776575A" w14:textId="77777777" w:rsidR="002E369D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  <w:t>ESFEROCITOSE HEREDITÁRIA E DEFICIÊNCIA DE G6PD</w:t>
                      </w:r>
                    </w:p>
                  </w:txbxContent>
                </v:textbox>
                <w10:wrap type="topAndBottom" anchorx="margin" anchory="margin"/>
              </v:roundrect>
            </w:pict>
          </mc:Fallback>
        </mc:AlternateContent>
      </w:r>
    </w:p>
    <w:p>
      <w:pPr>
        <w:pStyle w:val="Ttulo3"/>
      </w:pPr>
      <w:r>
        <w:rPr/>
        <w:t xml:space="preserve">Esferocitose hereditária</w:t>
      </w:r>
    </w:p>
    <w:p>
      <w:pPr>
        <w:pStyle w:val="Ttulo4"/>
      </w:pPr>
      <w:r>
        <w:rPr/>
        <w:t xml:space="preserve">Definição e fisiopatologia</w:t>
      </w:r>
    </w:p>
    <w:p>
      <w:r>
        <w:rPr/>
        <w:t xml:space="preserve">É a anemia hemolítica hereditária por defeito de membrana mais comum. Defeitos nas proteínas que prendem a membrana ao citoesqueleto (</w:t>
      </w:r>
      <w:r>
        <w:rPr>
          <w:b/>
          <w:bCs/>
        </w:rPr>
        <w:t xml:space="preserve">anquirina</w:t>
      </w:r>
      <w:r>
        <w:rPr/>
        <w:t xml:space="preserve">, </w:t>
      </w:r>
      <w:r>
        <w:rPr>
          <w:b/>
          <w:bCs/>
        </w:rPr>
        <w:t xml:space="preserve">espectrina</w:t>
      </w:r>
      <w:r>
        <w:rPr/>
        <w:t xml:space="preserve">, banda 3, proteína 4.2) fazem a hemácia perder membrana e virar </w:t>
      </w:r>
      <w:r>
        <w:rPr>
          <w:b/>
          <w:bCs/>
        </w:rPr>
        <w:t xml:space="preserve">esferócito</w:t>
      </w:r>
      <w:r>
        <w:rPr/>
        <w:t xml:space="preserve">: pequeno, redondo, rígido e retido no </w:t>
      </w:r>
      <w:r>
        <w:rPr>
          <w:b/>
          <w:bCs/>
        </w:rPr>
        <w:t xml:space="preserve">baço</w:t>
      </w:r>
      <w:r>
        <w:rPr/>
        <w:t xml:space="preserve">. A herança é </w:t>
      </w:r>
      <w:r>
        <w:rPr>
          <w:b/>
          <w:bCs/>
        </w:rPr>
        <w:t xml:space="preserve">autossômica dominante</w:t>
      </w:r>
      <w:r>
        <w:rPr/>
        <w:t xml:space="preserve"> em cerca de 75% dos casos (história familiar positiva).</w:t>
      </w:r>
    </w:p>
    <w:p>
      <w:pPr>
        <w:pStyle w:val="Ttulo4"/>
      </w:pPr>
      <w:r>
        <w:rPr/>
        <w:t xml:space="preserve">Quadro clínico e diagnóstico</w:t>
      </w:r>
    </w:p>
    <w:p>
      <w:pPr>
        <w:numPr>
          <w:ilvl w:val="0"/>
          <w:numId w:val="1"/>
        </w:numPr>
      </w:pPr>
      <w:r>
        <w:rPr/>
        <w:t xml:space="preserve">Tríade: </w:t>
      </w:r>
      <w:r>
        <w:rPr>
          <w:b/>
          <w:bCs/>
        </w:rPr>
        <w:t xml:space="preserve">anemia, icterícia e esplenomegalia</w:t>
      </w:r>
      <w:r>
        <w:rPr/>
        <w:t xml:space="preserve">; </w:t>
      </w:r>
      <w:r>
        <w:rPr>
          <w:b/>
          <w:bCs/>
        </w:rPr>
        <w:t xml:space="preserve">litíase biliar precoce</w:t>
      </w:r>
      <w:r>
        <w:rPr/>
        <w:t xml:space="preserve"> (até em crianças).</w:t>
      </w:r>
    </w:p>
    <w:p>
      <w:pPr>
        <w:numPr>
          <w:ilvl w:val="0"/>
          <w:numId w:val="1"/>
        </w:numPr>
      </w:pPr>
      <w:r>
        <w:rPr/>
        <w:t xml:space="preserve">Pode ter </w:t>
      </w:r>
      <w:r>
        <w:rPr>
          <w:b/>
          <w:bCs/>
        </w:rPr>
        <w:t xml:space="preserve">crise aplástica</w:t>
      </w:r>
      <w:r>
        <w:rPr/>
        <w:t xml:space="preserve"> (parvovírus B19) e crises hemolíticas com infecções.</w:t>
      </w:r>
    </w:p>
    <w:p>
      <w:pPr>
        <w:numPr>
          <w:ilvl w:val="0"/>
          <w:numId w:val="1"/>
        </w:numPr>
      </w:pPr>
      <w:r>
        <w:rPr/>
        <w:t xml:space="preserve">Laboratório: esferócitos no esfregaço, </w:t>
      </w:r>
      <w:r>
        <w:rPr>
          <w:b/>
          <w:bCs/>
        </w:rPr>
        <w:t xml:space="preserve">CHCM aumentado (&gt; 36 g/dL)</w:t>
      </w:r>
      <w:r>
        <w:rPr/>
        <w:t xml:space="preserve">, reticulocitose, </w:t>
      </w:r>
      <w:r>
        <w:rPr>
          <w:b/>
          <w:bCs/>
        </w:rPr>
        <w:t xml:space="preserve">Coombs direto negativo</w:t>
      </w:r>
      <w:r>
        <w:rPr/>
        <w:t xml:space="preserve"> (diferencia da AHAI, que também tem esferócitos).</w:t>
      </w:r>
    </w:p>
    <w:p>
      <w:pPr>
        <w:numPr>
          <w:ilvl w:val="0"/>
          <w:numId w:val="1"/>
        </w:numPr>
      </w:pPr>
      <w:r>
        <w:rPr/>
        <w:t xml:space="preserve">Confirmação: </w:t>
      </w:r>
      <w:r>
        <w:rPr>
          <w:b/>
          <w:bCs/>
        </w:rPr>
        <w:t xml:space="preserve">teste de ligação da eosina-5-maleimida (EMA)</w:t>
      </w:r>
      <w:r>
        <w:rPr/>
        <w:t xml:space="preserve"> por citometria de fluxo (o mais usado hoje) ou fragilidade osmótica aumentada.</w:t>
      </w:r>
    </w:p>
    <w:p>
      <w:pPr>
        <w:pStyle w:val="Ttulo4"/>
      </w:pPr>
      <w:r>
        <w:rPr/>
        <w:t xml:space="preserve">Tratamento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Ácido fólico</w:t>
      </w:r>
      <w:r>
        <w:rPr/>
        <w:t xml:space="preserve"> nas formas moderadas e graves.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Esplenectomia</w:t>
      </w:r>
      <w:r>
        <w:rPr/>
        <w:t xml:space="preserve"> (total ou parcial) nas formas moderadas a graves, de preferência </w:t>
      </w:r>
      <w:r>
        <w:rPr>
          <w:b/>
          <w:bCs/>
        </w:rPr>
        <w:t xml:space="preserve">após os 6 anos</w:t>
      </w:r>
      <w:r>
        <w:rPr/>
        <w:t xml:space="preserve">: corrige a anemia, mas não o defeito.</w:t>
      </w:r>
    </w:p>
    <w:p>
      <w:pPr>
        <w:numPr>
          <w:ilvl w:val="0"/>
          <w:numId w:val="1"/>
        </w:numPr>
      </w:pPr>
      <w:r>
        <w:rPr/>
        <w:t xml:space="preserve">Antes da esplenectomia: </w:t>
      </w:r>
      <w:r>
        <w:rPr>
          <w:b/>
          <w:bCs/>
        </w:rPr>
        <w:t xml:space="preserve">vacinas</w:t>
      </w:r>
      <w:r>
        <w:rPr/>
        <w:t xml:space="preserve"> contra pneumococo, meningococo e Haemophilus (pelo menos 2 semanas antes).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Colecistectomia</w:t>
      </w:r>
      <w:r>
        <w:rPr/>
        <w:t xml:space="preserve"> se litíase sintomática (pode ser feita no mesmo tempo).</w:t>
      </w:r>
    </w:p>
    <w:p>
      <w:pPr>
        <w:pStyle w:val="Ttulo4"/>
      </w:pPr>
      <w:r>
        <w:rPr/>
        <w:t xml:space="preserve">Eliptocitose hereditária</w:t>
      </w:r>
    </w:p>
    <w:p>
      <w:r>
        <w:rPr/>
        <w:t xml:space="preserve">Defeito na espectrina com hemácias elípticas. A maioria é assintomática; formas graves (piropoiquilocitose) se comportam como esferocitose.</w:t>
      </w:r>
    </w:p>
    <w:p>
      <w:pPr>
        <w:pStyle w:val="Ttulo3"/>
      </w:pPr>
      <w:r>
        <w:rPr/>
        <w:t xml:space="preserve">Deficiência de G6PD</w:t>
      </w:r>
    </w:p>
    <w:p>
      <w:pPr>
        <w:pStyle w:val="Ttulo4"/>
      </w:pPr>
      <w:r>
        <w:rPr/>
        <w:t xml:space="preserve">Definição e fisiopatologia</w:t>
      </w:r>
    </w:p>
    <w:p>
      <w:r>
        <w:rPr/>
        <w:t xml:space="preserve">É a </w:t>
      </w:r>
      <w:r>
        <w:rPr>
          <w:b/>
          <w:bCs/>
        </w:rPr>
        <w:t xml:space="preserve">enzimopatia eritrocitária mais comum do mundo</w:t>
      </w:r>
      <w:r>
        <w:rPr/>
        <w:t xml:space="preserve">. A glicose-6-fosfato desidrogenase gera o </w:t>
      </w:r>
      <w:r>
        <w:rPr>
          <w:b/>
          <w:bCs/>
        </w:rPr>
        <w:t xml:space="preserve">NADPH</w:t>
      </w:r>
      <w:r>
        <w:rPr/>
        <w:t xml:space="preserve">, que mantém a </w:t>
      </w:r>
      <w:r>
        <w:rPr>
          <w:b/>
          <w:bCs/>
        </w:rPr>
        <w:t xml:space="preserve">glutationa reduzida</w:t>
      </w:r>
      <w:r>
        <w:rPr/>
        <w:t xml:space="preserve"> e protege a hemácia contra oxidação. Sem ela, um </w:t>
      </w:r>
      <w:r>
        <w:rPr>
          <w:b/>
          <w:bCs/>
        </w:rPr>
        <w:t xml:space="preserve">estresse oxidativo</w:t>
      </w:r>
      <w:r>
        <w:rPr/>
        <w:t xml:space="preserve"> desnatura a hemoglobina, que precipita em </w:t>
      </w:r>
      <w:r>
        <w:rPr>
          <w:b/>
          <w:bCs/>
        </w:rPr>
        <w:t xml:space="preserve">corpos de Heinz</w:t>
      </w:r>
      <w:r>
        <w:rPr/>
        <w:t xml:space="preserve">; o baço "morde" a hemácia (</w:t>
      </w:r>
      <w:r>
        <w:rPr>
          <w:b/>
          <w:bCs/>
        </w:rPr>
        <w:t xml:space="preserve">células mordidas</w:t>
      </w:r>
      <w:r>
        <w:rPr/>
        <w:t xml:space="preserve">) e há </w:t>
      </w:r>
      <w:r>
        <w:rPr>
          <w:b/>
          <w:bCs/>
        </w:rPr>
        <w:t xml:space="preserve">hemólise aguda, principalmente intravascular</w:t>
      </w:r>
      <w:r>
        <w:rPr/>
        <w:t xml:space="preserve">. A herança é </w:t>
      </w:r>
      <w:r>
        <w:rPr>
          <w:b/>
          <w:bCs/>
        </w:rPr>
        <w:t xml:space="preserve">ligada ao X</w:t>
      </w:r>
      <w:r>
        <w:rPr/>
        <w:t xml:space="preserve"> (afeta sobretudo meninos e homens).</w:t>
      </w:r>
    </w:p>
    <w:p>
      <w:pPr>
        <w:pStyle w:val="Ttulo4"/>
      </w:pPr>
      <w:r>
        <w:rPr/>
        <w:t xml:space="preserve">Gatilhos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11</w:t>
      </w:r>
      <w:r>
        <w:rPr>
          <w:color w:val="921827"/>
          <w:sz w:val="18"/>
          <w:szCs w:val="18"/>
        </w:rPr>
        <w:t xml:space="preserve"> – Gatilhos de hemólise na deficiência de G6PD</w:t>
      </w:r>
    </w:p>
    <w:tbl>
      <w:tblPr>
        <w:tblW w:w="9900" w:type="dxa"/>
        <w:tblLayout w:type="fixed"/>
      </w:tblPr>
      <w:tblGrid>
        <w:gridCol w:w="2300"/>
        <w:gridCol w:w="7600"/>
      </w:tblGrid>
      <w:tr>
        <w:trPr>
          <w:tblHeader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Exemplos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Infecções</w:t>
            </w:r>
          </w:p>
        </w:tc>
        <w:tc>
          <w:tcPr>
            <w:tcW w:w="7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O gatilho mais comum (pneumonia, hepatite viral, gastroenterite)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Alimentos</w:t>
            </w:r>
          </w:p>
        </w:tc>
        <w:tc>
          <w:tcPr>
            <w:tcW w:w="7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Fava</w:t>
            </w:r>
            <w:r>
              <w:rPr>
                <w:sz w:val="18"/>
                <w:szCs w:val="18"/>
              </w:rPr>
              <w:t xml:space="preserve"> (favismo)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Fármacos</w:t>
            </w:r>
          </w:p>
        </w:tc>
        <w:tc>
          <w:tcPr>
            <w:tcW w:w="7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Primaquina</w:t>
            </w:r>
            <w:r>
              <w:rPr>
                <w:sz w:val="18"/>
                <w:szCs w:val="18"/>
              </w:rPr>
              <w:t xml:space="preserve"> e tafenoquina, </w:t>
            </w:r>
            <w:r>
              <w:rPr>
                <w:b/>
                <w:bCs/>
                <w:sz w:val="18"/>
                <w:szCs w:val="18"/>
              </w:rPr>
              <w:t xml:space="preserve">dapsona</w:t>
            </w:r>
            <w:r>
              <w:rPr>
                <w:sz w:val="18"/>
                <w:szCs w:val="18"/>
              </w:rPr>
              <w:t xml:space="preserve">, sulfametoxazol, nitrofurantoína, </w:t>
            </w:r>
            <w:r>
              <w:rPr>
                <w:b/>
                <w:bCs/>
                <w:sz w:val="18"/>
                <w:szCs w:val="18"/>
              </w:rPr>
              <w:t xml:space="preserve">rasburicase</w:t>
            </w:r>
            <w:r>
              <w:rPr>
                <w:sz w:val="18"/>
                <w:szCs w:val="18"/>
              </w:rPr>
              <w:t xml:space="preserve">, azul de metileno, quinolonas (algumas)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Outros</w:t>
            </w:r>
          </w:p>
        </w:tc>
        <w:tc>
          <w:tcPr>
            <w:tcW w:w="7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Naftalina (bolinhas de naftalina), cetoacidose diabética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Luzzatto et al. (ref. 11).</w:t>
      </w:r>
    </w:p>
    <w:p>
      <w:pPr>
        <w:pStyle w:val="Ttulo4"/>
      </w:pPr>
      <w:r>
        <w:rPr/>
        <w:t xml:space="preserve">Quadro clínico, diagnóstico e tratamento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Hemólise aguda 24 a 72 h após o gatilho:</w:t>
      </w:r>
      <w:r>
        <w:rPr/>
        <w:t xml:space="preserve"> palidez, icterícia, </w:t>
      </w:r>
      <w:r>
        <w:rPr>
          <w:b/>
          <w:bCs/>
        </w:rPr>
        <w:t xml:space="preserve">urina escura</w:t>
      </w:r>
      <w:r>
        <w:rPr/>
        <w:t xml:space="preserve"> (hemoglobinúria), dor lombar.</w:t>
      </w:r>
    </w:p>
    <w:p>
      <w:pPr>
        <w:numPr>
          <w:ilvl w:val="0"/>
          <w:numId w:val="1"/>
        </w:numPr>
      </w:pPr>
      <w:r>
        <w:rPr/>
        <w:t xml:space="preserve">No recém-nascido: </w:t>
      </w:r>
      <w:r>
        <w:rPr>
          <w:b/>
          <w:bCs/>
        </w:rPr>
        <w:t xml:space="preserve">icterícia neonatal</w:t>
      </w:r>
      <w:r>
        <w:rPr/>
        <w:t xml:space="preserve"> que pode ser grave (kernicterus).</w:t>
      </w:r>
    </w:p>
    <w:p>
      <w:pPr>
        <w:numPr>
          <w:ilvl w:val="0"/>
          <w:numId w:val="1"/>
        </w:numPr>
      </w:pPr>
      <w:r>
        <w:rPr/>
        <w:t xml:space="preserve">Esfregaço: corpos de Heinz (coloração supravital) e células mordidas. Coombs negativo.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Dosagem quantitativa da G6PD:</w:t>
      </w:r>
      <w:r>
        <w:rPr/>
        <w:t xml:space="preserve"> pode vir </w:t>
      </w:r>
      <w:r>
        <w:rPr>
          <w:b/>
          <w:bCs/>
        </w:rPr>
        <w:t xml:space="preserve">falsamente normal na crise</w:t>
      </w:r>
      <w:r>
        <w:rPr/>
        <w:t xml:space="preserve"> (os reticulócitos novos têm mais enzima). Repita </w:t>
      </w:r>
      <w:r>
        <w:rPr>
          <w:b/>
          <w:bCs/>
        </w:rPr>
        <w:t xml:space="preserve">2 a 3 meses</w:t>
      </w:r>
      <w:r>
        <w:rPr/>
        <w:t xml:space="preserve"> depois.</w:t>
      </w:r>
    </w:p>
    <w:p>
      <w:pPr>
        <w:numPr>
          <w:ilvl w:val="0"/>
          <w:numId w:val="1"/>
        </w:numPr>
      </w:pPr>
      <w:r>
        <w:rPr/>
        <w:t xml:space="preserve">Tratamento: </w:t>
      </w:r>
      <w:r>
        <w:rPr>
          <w:b/>
          <w:bCs/>
        </w:rPr>
        <w:t xml:space="preserve">suspender o gatilho</w:t>
      </w:r>
      <w:r>
        <w:rPr/>
        <w:t xml:space="preserve">, hidratação (proteção renal) e transfusão se anemia grave. A prevenção é orientar a lista de fármacos e alimentos a evitar.</w:t>
      </w:r>
    </w:p>
    <w:p>
      <w:pPr>
        <w:numPr>
          <w:ilvl w:val="0"/>
          <w:numId w:val="1"/>
        </w:numPr>
      </w:pPr>
      <w:r>
        <w:rPr/>
        <w:t xml:space="preserve">No Brasil, a deficiência importa no tratamento da </w:t>
      </w:r>
      <w:r>
        <w:rPr>
          <w:b/>
          <w:bCs/>
        </w:rPr>
        <w:t xml:space="preserve">malária por P. vivax</w:t>
      </w:r>
      <w:r>
        <w:rPr/>
        <w:t xml:space="preserve">: a primaquina pode causar hemólise grave em deficientes.</w:t>
      </w:r>
    </w:p>
    <w:p>
      <w:pPr>
        <w:pStyle w:val="Ttulo4"/>
      </w:pPr>
      <w:r>
        <w:rPr/>
        <w:t xml:space="preserve">Deficiência de piruvato-quinase</w:t>
      </w:r>
    </w:p>
    <w:p>
      <w:r>
        <w:rPr/>
        <w:t xml:space="preserve">Enzimopatia da via glicolítica, </w:t>
      </w:r>
      <w:r>
        <w:rPr>
          <w:b/>
          <w:bCs/>
        </w:rPr>
        <w:t xml:space="preserve">autossômica recessiva</w:t>
      </w:r>
      <w:r>
        <w:rPr/>
        <w:t xml:space="preserve">, com hemólise </w:t>
      </w:r>
      <w:r>
        <w:rPr>
          <w:b/>
          <w:bCs/>
        </w:rPr>
        <w:t xml:space="preserve">extravascular crônica</w:t>
      </w:r>
      <w:r>
        <w:rPr/>
        <w:t xml:space="preserve"> e esplenomegalia. Tratamento de suporte, esplenectomia nos graves e, mais recentemente, o ativador mitapivate.</w:t>
      </w:r>
    </w:p>
    <w:p>
      <w:pPr>
        <w:spacing w:after="0" w:line="240" w:lineRule="auto"/>
      </w:pPr>
      <w:r>
        <w:br w:type="page"/>
      </w:r>
    </w:p>
    <w:p w14:paraId="14182F58" w14:textId="77777777" w:rsidR="002E369D" w:rsidRDefault="00A87142">
      <w:pPr>
        <w:spacing w:line="259" w:lineRule="auto"/>
        <w:jc w:val="left"/>
      </w:pPr>
      <w:r>
        <w:rPr>
          <w:noProof/>
          <w:color w:val="921827"/>
        </w:rPr>
        <w:lastRenderedPageBreak/>
        <mc:AlternateContent>
          <mc:Choice Requires="wps">
            <w:drawing>
              <wp:anchor distT="0" distB="0" distL="114300" distR="114300" simplePos="0" relativeHeight="251651635" behindDoc="0" locked="0" layoutInCell="1" allowOverlap="1" wp14:anchorId="3C298F33" wp14:editId="216760BC">
                <wp:simplePos x="0" y="0"/>
                <wp:positionH relativeFrom="margin">
                  <wp:posOffset>805180</wp:posOffset>
                </wp:positionH>
                <wp:positionV relativeFrom="margin">
                  <wp:posOffset>-271780</wp:posOffset>
                </wp:positionV>
                <wp:extent cx="4719320" cy="1134110"/>
                <wp:effectExtent l="0" t="0" r="5080" b="0"/>
                <wp:wrapTopAndBottom/>
                <wp:docPr id="51" name="Tit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9320" cy="1134110"/>
                        </a:xfrm>
                        <a:prstGeom prst="roundRect">
                          <a:avLst/>
                        </a:prstGeom>
                        <a:solidFill>
                          <a:srgbClr val="92182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A59C9E" w14:textId="77777777" w:rsidR="002E369D" w:rsidRDefault="00A87142">
                            <w:pPr>
                              <w:pStyle w:val="Ttulo2"/>
                              <w:jc w:val="center"/>
                            </w:pPr>
                            <w:r>
                              <w:t>Anemias Hemolíticas Adquiridas</w:t>
                            </w:r>
                          </w:p>
                          <w:p w14:paraId="5776575A" w14:textId="77777777" w:rsidR="002E369D" w:rsidRDefault="00A8714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IMUNES, MICROANGIOPÁTICAS E HPN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298F33" id="Titulo 51" o:spid="_x0000_s1026" style="position:absolute;margin-left:63.4pt;margin-top:-21.4pt;width:371.6pt;height:89.3pt;z-index:251651635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" fillcolor="#921827" stroked="f">
                <v:textbox>
                  <w:txbxContent>
                    <w:p w14:paraId="67A59C9E" w14:textId="77777777" w:rsidR="002E369D" w:rsidRDefault="00000000">
                      <w:pPr>
                        <w:pStyle w:val="Ttulo2"/>
                        <w:jc w:val="center"/>
                      </w:pPr>
                      <w:r>
                        <w:t>Anemias Hemolíticas Adquiridas</w:t>
                      </w:r>
                    </w:p>
                    <w:p w14:paraId="5776575A" w14:textId="77777777" w:rsidR="002E369D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  <w:t>IMUNES, MICROANGIOPÁTICAS E HPN</w:t>
                      </w:r>
                    </w:p>
                  </w:txbxContent>
                </v:textbox>
                <w10:wrap type="topAndBottom" anchorx="margin" anchory="margin"/>
              </v:roundrect>
            </w:pict>
          </mc:Fallback>
        </mc:AlternateContent>
      </w:r>
    </w:p>
    <w:p>
      <w:pPr>
        <w:pStyle w:val="Ttulo3"/>
      </w:pPr>
      <w:r>
        <w:rPr/>
        <w:t xml:space="preserve">Anemia hemolítica autoimune (AHAI)</w:t>
      </w:r>
    </w:p>
    <w:p>
      <w:pPr>
        <w:pStyle w:val="Ttulo4"/>
      </w:pPr>
      <w:r>
        <w:rPr/>
        <w:t xml:space="preserve">Definição e classificação</w:t>
      </w:r>
    </w:p>
    <w:p>
      <w:r>
        <w:rPr/>
        <w:t xml:space="preserve">Na AHAI o paciente produz </w:t>
      </w:r>
      <w:r>
        <w:rPr>
          <w:b/>
          <w:bCs/>
        </w:rPr>
        <w:t xml:space="preserve">autoanticorpos contra as próprias hemácias</w:t>
      </w:r>
      <w:r>
        <w:rPr/>
        <w:t xml:space="preserve">. O </w:t>
      </w:r>
      <w:r>
        <w:rPr>
          <w:b/>
          <w:bCs/>
        </w:rPr>
        <w:t xml:space="preserve">Coombs direto positivo</w:t>
      </w:r>
      <w:r>
        <w:rPr/>
        <w:t xml:space="preserve"> é o achado central. A classificação depende da temperatura em que o anticorpo age melhor.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12</w:t>
      </w:r>
      <w:r>
        <w:rPr>
          <w:color w:val="921827"/>
          <w:sz w:val="18"/>
          <w:szCs w:val="18"/>
        </w:rPr>
        <w:t xml:space="preserve"> – AHAI quente × doença das crioaglutininas</w:t>
      </w:r>
    </w:p>
    <w:tbl>
      <w:tblPr>
        <w:tblW w:w="9900" w:type="dxa"/>
        <w:tblLayout w:type="fixed"/>
      </w:tblPr>
      <w:tblGrid>
        <w:gridCol w:w="2200"/>
        <w:gridCol w:w="3800"/>
        <w:gridCol w:w="3900"/>
      </w:tblGrid>
      <w:tr>
        <w:trPr>
          <w:tblHeader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Característica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AHAI quente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Doença das crioaglutininas (fria)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Frequência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Mais comum</w:t>
            </w:r>
            <w:r>
              <w:rPr>
                <w:sz w:val="18"/>
                <w:szCs w:val="18"/>
              </w:rPr>
              <w:t xml:space="preserve"> (cerca de 70 a 80%)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Menos comum</w:t>
            </w:r>
          </w:p>
        </w:tc>
      </w:tr>
      <w:tr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Anticorpo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IgG</w:t>
            </w:r>
            <w:r>
              <w:rPr>
                <w:sz w:val="18"/>
                <w:szCs w:val="18"/>
              </w:rPr>
              <w:t xml:space="preserve">, age a 37 °C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IgM</w:t>
            </w:r>
            <w:r>
              <w:rPr>
                <w:sz w:val="18"/>
                <w:szCs w:val="18"/>
              </w:rPr>
              <w:t xml:space="preserve">, age no frio (&lt; 37 °C) e fixa complemento</w:t>
            </w:r>
          </w:p>
        </w:tc>
      </w:tr>
      <w:tr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Coombs direto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IgG (± C3)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C3d</w:t>
            </w:r>
          </w:p>
        </w:tc>
      </w:tr>
      <w:tr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Onde destrói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Baço (extravascular)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Fígado (extravascular) e intravascular pelo complemento</w:t>
            </w:r>
          </w:p>
        </w:tc>
      </w:tr>
      <w:tr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Esfregaço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Esferócitos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Aglutinação</w:t>
            </w:r>
            <w:r>
              <w:rPr>
                <w:sz w:val="18"/>
                <w:szCs w:val="18"/>
              </w:rPr>
              <w:t xml:space="preserve"> das hemácias</w:t>
            </w:r>
          </w:p>
        </w:tc>
      </w:tr>
      <w:tr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Causas secundárias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LES e outras autoimunes, </w:t>
            </w:r>
            <w:r>
              <w:rPr>
                <w:b/>
                <w:bCs/>
                <w:sz w:val="18"/>
                <w:szCs w:val="18"/>
              </w:rPr>
              <w:t xml:space="preserve">LLC</w:t>
            </w:r>
            <w:r>
              <w:rPr>
                <w:sz w:val="18"/>
                <w:szCs w:val="18"/>
              </w:rPr>
              <w:t xml:space="preserve">, linfomas, imunodeficiências, fármacos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Mycoplasma pneumoniae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EBV</w:t>
            </w:r>
            <w:r>
              <w:rPr>
                <w:sz w:val="18"/>
                <w:szCs w:val="18"/>
              </w:rPr>
              <w:t xml:space="preserve"> (mononucleose), linfomas e doença linfoproliferativa</w:t>
            </w:r>
          </w:p>
        </w:tc>
      </w:tr>
      <w:tr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Quadro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Anemia, icterícia, esplenomegalia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Piora no frio: </w:t>
            </w:r>
            <w:r>
              <w:rPr>
                <w:b/>
                <w:bCs/>
                <w:sz w:val="18"/>
                <w:szCs w:val="18"/>
              </w:rPr>
              <w:t xml:space="preserve">acrocianose</w:t>
            </w:r>
            <w:r>
              <w:rPr>
                <w:sz w:val="18"/>
                <w:szCs w:val="18"/>
              </w:rPr>
              <w:t xml:space="preserve">, fenômeno de Raynaud, urina escura</w:t>
            </w:r>
          </w:p>
        </w:tc>
      </w:tr>
      <w:tr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Tratamento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Prednisona 1 mg/kg/dia</w:t>
            </w:r>
            <w:r>
              <w:rPr>
                <w:sz w:val="18"/>
                <w:szCs w:val="18"/>
              </w:rPr>
              <w:t xml:space="preserve">; 2ª linha: </w:t>
            </w:r>
            <w:r>
              <w:rPr>
                <w:b/>
                <w:bCs/>
                <w:sz w:val="18"/>
                <w:szCs w:val="18"/>
              </w:rPr>
              <w:t xml:space="preserve">rituximabe</w:t>
            </w:r>
            <w:r>
              <w:rPr>
                <w:sz w:val="18"/>
                <w:szCs w:val="18"/>
              </w:rPr>
              <w:t xml:space="preserve">; depois esplenectomia ou imunossupressores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Evitar o frio, aquecer soros e hemoderivados; corticoide funciona pouco; </w:t>
            </w:r>
            <w:r>
              <w:rPr>
                <w:b/>
                <w:bCs/>
                <w:sz w:val="18"/>
                <w:szCs w:val="18"/>
              </w:rPr>
              <w:t xml:space="preserve">rituximabe</w:t>
            </w:r>
            <w:r>
              <w:rPr>
                <w:sz w:val="18"/>
                <w:szCs w:val="18"/>
              </w:rPr>
              <w:t xml:space="preserve">; sutimlimabe (anti-C1s)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Jäger et al., consenso internacional de AHAI (ref. 7).</w:t>
      </w:r>
    </w:p>
    <w:p>
      <w:pPr>
        <w:numPr>
          <w:ilvl w:val="0"/>
          <w:numId w:val="1"/>
        </w:numPr>
      </w:pPr>
      <w:r>
        <w:rPr/>
        <w:t xml:space="preserve">Na AHAI quente, a resposta ao corticoide ocorre em 70 a 85% dos casos; reduza a dose devagar após a Hb estabilizar. Associe </w:t>
      </w:r>
      <w:r>
        <w:rPr>
          <w:b/>
          <w:bCs/>
        </w:rPr>
        <w:t xml:space="preserve">ácido fólico</w:t>
      </w:r>
      <w:r>
        <w:rPr/>
        <w:t xml:space="preserve"> e considere </w:t>
      </w:r>
      <w:r>
        <w:rPr>
          <w:b/>
          <w:bCs/>
        </w:rPr>
        <w:t xml:space="preserve">profilaxia de trombose</w:t>
      </w:r>
      <w:r>
        <w:rPr/>
        <w:t xml:space="preserve"> (a AHAI ativa é trombogênica).</w:t>
      </w:r>
    </w:p>
    <w:p>
      <w:pPr>
        <w:numPr>
          <w:ilvl w:val="0"/>
          <w:numId w:val="1"/>
        </w:numPr>
      </w:pPr>
      <w:r>
        <w:rPr/>
        <w:t xml:space="preserve">A prova cruzada é difícil (autoanticorpo reage com todas as bolsas), mas </w:t>
      </w:r>
      <w:r>
        <w:rPr>
          <w:b/>
          <w:bCs/>
        </w:rPr>
        <w:t xml:space="preserve">não se nega transfusão</w:t>
      </w:r>
      <w:r>
        <w:rPr/>
        <w:t xml:space="preserve"> a quem tem anemia grave e sintomática.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Induzida por fármacos:</w:t>
      </w:r>
      <w:r>
        <w:rPr/>
        <w:t xml:space="preserve"> ceftriaxona, piperacilina, metildopa, entre outros. Suspenda o fármaco.</w:t>
      </w:r>
    </w:p>
    <w:tbl>
      <w:tblPr>
        <w:tblW w:w="9900" w:type="dxa"/>
        <w:tblLayout w:type="fixed"/>
      </w:tblPr>
      <w:tblGrid>
        <w:gridCol w:w="9900"/>
      </w:tblGrid>
      <w:tr>
        <w:trPr>
          <w:cantSplit/>
        </w:trPr>
        <w:tc>
          <w:tcPr>
            <w:tcW w:w="990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8EDE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/>
              <w:spacing w:after="20" w:line="276" w:lineRule="auto"/>
              <w:jc w:val="left"/>
            </w:pPr>
            <w:r>
              <w:rPr>
                <w:b/>
                <w:bCs/>
                <w:color w:val="921827"/>
                <w:sz w:val="16"/>
                <w:szCs w:val="16"/>
              </w:rPr>
              <w:t xml:space="preserve">Ponto-chave</w:t>
            </w:r>
          </w:p>
          <w:p>
            <w:pPr>
              <w:spacing w:after="40" w:line="276" w:lineRule="auto"/>
            </w:pPr>
            <w:r>
              <w:rPr>
                <w:sz w:val="16"/>
                <w:szCs w:val="16"/>
              </w:rPr>
              <w:t xml:space="preserve">Esferócitos aparecem na </w:t>
            </w:r>
            <w:r>
              <w:rPr>
                <w:b/>
                <w:bCs/>
                <w:sz w:val="16"/>
                <w:szCs w:val="16"/>
              </w:rPr>
              <w:t xml:space="preserve">esferocitose</w:t>
            </w:r>
            <w:r>
              <w:rPr>
                <w:sz w:val="16"/>
                <w:szCs w:val="16"/>
              </w:rPr>
              <w:t xml:space="preserve"> e na </w:t>
            </w:r>
            <w:r>
              <w:rPr>
                <w:b/>
                <w:bCs/>
                <w:sz w:val="16"/>
                <w:szCs w:val="16"/>
              </w:rPr>
              <w:t xml:space="preserve">AHAI quente</w:t>
            </w:r>
            <w:r>
              <w:rPr>
                <w:sz w:val="16"/>
                <w:szCs w:val="16"/>
              </w:rPr>
              <w:t xml:space="preserve">. Quem separa é o </w:t>
            </w:r>
            <w:r>
              <w:rPr>
                <w:b/>
                <w:bCs/>
                <w:sz w:val="16"/>
                <w:szCs w:val="16"/>
              </w:rPr>
              <w:t xml:space="preserve">Coombs direto</w:t>
            </w:r>
            <w:r>
              <w:rPr>
                <w:sz w:val="16"/>
                <w:szCs w:val="16"/>
              </w:rPr>
              <w:t xml:space="preserve">: negativo na esferocitose, positivo na AHAI.</w:t>
            </w:r>
          </w:p>
        </w:tc>
      </w:tr>
    </w:tbl>
    <w:p/>
    <w:p>
      <w:pPr>
        <w:pStyle w:val="Ttulo3"/>
      </w:pPr>
      <w:r>
        <w:rPr/>
        <w:t xml:space="preserve">Hemoglobinúria paroxística noturna (HPN)</w:t>
      </w:r>
    </w:p>
    <w:p>
      <w:r>
        <w:rPr/>
        <w:t xml:space="preserve">Doença </w:t>
      </w:r>
      <w:r>
        <w:rPr>
          <w:b/>
          <w:bCs/>
        </w:rPr>
        <w:t xml:space="preserve">adquirida</w:t>
      </w:r>
      <w:r>
        <w:rPr/>
        <w:t xml:space="preserve"> da célula-tronco: uma mutação no gene </w:t>
      </w:r>
      <w:r>
        <w:rPr>
          <w:b/>
          <w:bCs/>
        </w:rPr>
        <w:t xml:space="preserve">PIGA</w:t>
      </w:r>
      <w:r>
        <w:rPr/>
        <w:t xml:space="preserve"> impede a formação da âncora GPI. As células perdem as proteínas que as protegem do complemento (</w:t>
      </w:r>
      <w:r>
        <w:rPr>
          <w:b/>
          <w:bCs/>
        </w:rPr>
        <w:t xml:space="preserve">CD55 e CD59</w:t>
      </w:r>
      <w:r>
        <w:rPr/>
        <w:t xml:space="preserve">) e são destruídas por ele (hemólise </w:t>
      </w:r>
      <w:r>
        <w:rPr>
          <w:b/>
          <w:bCs/>
        </w:rPr>
        <w:t xml:space="preserve">intravascular</w:t>
      </w:r>
      <w:r>
        <w:rPr/>
        <w:t xml:space="preserve">).</w:t>
      </w:r>
    </w:p>
    <w:p>
      <w:pPr>
        <w:numPr>
          <w:ilvl w:val="0"/>
          <w:numId w:val="1"/>
        </w:numPr>
      </w:pPr>
      <w:r>
        <w:rPr/>
        <w:t xml:space="preserve">Tríade: </w:t>
      </w:r>
      <w:r>
        <w:rPr>
          <w:b/>
          <w:bCs/>
        </w:rPr>
        <w:t xml:space="preserve">hemólise</w:t>
      </w:r>
      <w:r>
        <w:rPr/>
        <w:t xml:space="preserve"> (urina escura, classicamente pela manhã), </w:t>
      </w:r>
      <w:r>
        <w:rPr>
          <w:b/>
          <w:bCs/>
        </w:rPr>
        <w:t xml:space="preserve">trombose em locais atípicos</w:t>
      </w:r>
      <w:r>
        <w:rPr/>
        <w:t xml:space="preserve"> (veias hepáticas — síndrome de Budd-Chiari —, mesentéricas e cerebrais) e </w:t>
      </w:r>
      <w:r>
        <w:rPr>
          <w:b/>
          <w:bCs/>
        </w:rPr>
        <w:t xml:space="preserve">falência medular</w:t>
      </w:r>
      <w:r>
        <w:rPr/>
        <w:t xml:space="preserve"> (associação com anemia aplásica).</w:t>
      </w:r>
    </w:p>
    <w:p>
      <w:pPr>
        <w:numPr>
          <w:ilvl w:val="0"/>
          <w:numId w:val="1"/>
        </w:numPr>
      </w:pPr>
      <w:r>
        <w:rPr/>
        <w:t xml:space="preserve">Diagnóstico: </w:t>
      </w:r>
      <w:r>
        <w:rPr>
          <w:b/>
          <w:bCs/>
        </w:rPr>
        <w:t xml:space="preserve">citometria de fluxo</w:t>
      </w:r>
      <w:r>
        <w:rPr/>
        <w:t xml:space="preserve"> mostrando ausência de CD55/CD59 (e FLAER) em hemácias e granulócitos.</w:t>
      </w:r>
    </w:p>
    <w:p>
      <w:pPr>
        <w:numPr>
          <w:ilvl w:val="0"/>
          <w:numId w:val="1"/>
        </w:numPr>
      </w:pPr>
      <w:r>
        <w:rPr/>
        <w:t xml:space="preserve">Tratamento: </w:t>
      </w:r>
      <w:r>
        <w:rPr>
          <w:b/>
          <w:bCs/>
        </w:rPr>
        <w:t xml:space="preserve">inibidores do complemento C5</w:t>
      </w:r>
      <w:r>
        <w:rPr/>
        <w:t xml:space="preserve"> (eculizumabe, ravulizumabe), com </w:t>
      </w:r>
      <w:r>
        <w:rPr>
          <w:b/>
          <w:bCs/>
        </w:rPr>
        <w:t xml:space="preserve">vacina meningocócica</w:t>
      </w:r>
      <w:r>
        <w:rPr/>
        <w:t xml:space="preserve"> antes (risco de Neisseria); anticoagulação se trombose; transplante nos casos com falência medular.</w:t>
      </w:r>
    </w:p>
    <w:p>
      <w:pPr>
        <w:pStyle w:val="Ttulo3"/>
      </w:pPr>
      <w:r>
        <w:rPr/>
        <w:t xml:space="preserve">Anemias hemolíticas microangiopáticas</w:t>
      </w:r>
    </w:p>
    <w:p>
      <w:r>
        <w:rPr/>
        <w:t xml:space="preserve">Microangiopatia trombótica (MAT) = </w:t>
      </w:r>
      <w:r>
        <w:rPr>
          <w:b/>
          <w:bCs/>
        </w:rPr>
        <w:t xml:space="preserve">anemia hemolítica com esquizócitos</w:t>
      </w:r>
      <w:r>
        <w:rPr/>
        <w:t xml:space="preserve"> + </w:t>
      </w:r>
      <w:r>
        <w:rPr>
          <w:b/>
          <w:bCs/>
        </w:rPr>
        <w:t xml:space="preserve">plaquetopenia</w:t>
      </w:r>
      <w:r>
        <w:rPr/>
        <w:t xml:space="preserve"> ± lesão de órgão. Pequenos trombos na microcirculação fragmentam as hemácias. Coombs negativo.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13</w:t>
      </w:r>
      <w:r>
        <w:rPr>
          <w:color w:val="921827"/>
          <w:sz w:val="18"/>
          <w:szCs w:val="18"/>
        </w:rPr>
        <w:t xml:space="preserve"> – Principais microangiopatias trombóticas</w:t>
      </w:r>
    </w:p>
    <w:tbl>
      <w:tblPr>
        <w:tblW w:w="9900" w:type="dxa"/>
        <w:tblLayout w:type="fixed"/>
      </w:tblPr>
      <w:tblGrid>
        <w:gridCol w:w="2100"/>
        <w:gridCol w:w="2500"/>
        <w:gridCol w:w="2700"/>
        <w:gridCol w:w="2600"/>
      </w:tblGrid>
      <w:tr>
        <w:trPr>
          <w:tblHeader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Doença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Pistas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</w:tr>
      <w:tr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PTT</w:t>
            </w:r>
            <w:r>
              <w:rPr>
                <w:b/>
                <w:bCs/>
                <w:sz w:val="18"/>
                <w:szCs w:val="18"/>
              </w:rPr>
              <w:t xml:space="preserve"> (púrpura trombocitopênica trombótica)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Deficiência de </w:t>
            </w:r>
            <w:r>
              <w:rPr>
                <w:b/>
                <w:bCs/>
                <w:sz w:val="18"/>
                <w:szCs w:val="18"/>
              </w:rPr>
              <w:t xml:space="preserve">ADAMTS13</w:t>
            </w:r>
            <w:r>
              <w:rPr>
                <w:sz w:val="18"/>
                <w:szCs w:val="18"/>
              </w:rPr>
              <w:t xml:space="preserve"> (&lt; 10%), quase sempre por autoanticorpo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Adulto, plaquetas muito baixas, alterações neurológicas; febre e rim menos marcantes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Emergência: troca plasmática</w:t>
            </w:r>
            <w:r>
              <w:rPr>
                <w:sz w:val="18"/>
                <w:szCs w:val="18"/>
              </w:rPr>
              <w:t xml:space="preserve"> + corticoide; caplacizumabe e rituximabe. Evitar transfusão de plaquetas</w:t>
            </w:r>
          </w:p>
        </w:tc>
      </w:tr>
      <w:tr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SHU típica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Toxina </w:t>
            </w:r>
            <w:r>
              <w:rPr>
                <w:b/>
                <w:bCs/>
                <w:sz w:val="18"/>
                <w:szCs w:val="18"/>
              </w:rPr>
              <w:t xml:space="preserve">Shiga</w:t>
            </w:r>
            <w:r>
              <w:rPr>
                <w:sz w:val="18"/>
                <w:szCs w:val="18"/>
              </w:rPr>
              <w:t xml:space="preserve"> (E. coli O157:H7)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Criança, </w:t>
            </w:r>
            <w:r>
              <w:rPr>
                <w:b/>
                <w:bCs/>
                <w:sz w:val="18"/>
                <w:szCs w:val="18"/>
              </w:rPr>
              <w:t xml:space="preserve">diarreia sanguinolenta</w:t>
            </w:r>
            <w:r>
              <w:rPr>
                <w:sz w:val="18"/>
                <w:szCs w:val="18"/>
              </w:rPr>
              <w:t xml:space="preserve"> 5 a 10 dias antes, </w:t>
            </w:r>
            <w:r>
              <w:rPr>
                <w:b/>
                <w:bCs/>
                <w:sz w:val="18"/>
                <w:szCs w:val="18"/>
              </w:rPr>
              <w:t xml:space="preserve">lesão renal aguda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Suporte, diálise se necessário; </w:t>
            </w:r>
            <w:r>
              <w:rPr>
                <w:b/>
                <w:bCs/>
                <w:sz w:val="18"/>
                <w:szCs w:val="18"/>
              </w:rPr>
              <w:t xml:space="preserve">antibiótico não é indicado</w:t>
            </w:r>
          </w:p>
        </w:tc>
      </w:tr>
      <w:tr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SHU atípica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Desregulação do </w:t>
            </w:r>
            <w:r>
              <w:rPr>
                <w:b/>
                <w:bCs/>
                <w:sz w:val="18"/>
                <w:szCs w:val="18"/>
              </w:rPr>
              <w:t xml:space="preserve">complemento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Sem diarreia, recidivas, história familiar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Inibidor de C5 (eculizumabe)</w:t>
            </w:r>
          </w:p>
        </w:tc>
      </w:tr>
      <w:tr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CIVD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Consumo de fatores e plaquetas (sepse, trauma, câncer, obstetrícia)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TP e TTPa alargados, fibrinogênio baixo, D-dímero alto</w:t>
            </w:r>
            <w:r>
              <w:rPr>
                <w:sz w:val="18"/>
                <w:szCs w:val="18"/>
              </w:rPr>
              <w:t xml:space="preserve"> (na PTT/SHU a coagulação é normal)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Tratar a causa; repor hemoderivados se sangramento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Zheng et al., ISTH 2020 (ref. 8); Harrison (ref. 6).</w:t>
      </w:r>
    </w:p>
    <w:tbl>
      <w:tblPr>
        <w:tblW w:w="9900" w:type="dxa"/>
        <w:tblLayout w:type="fixed"/>
      </w:tblPr>
      <w:tblGrid>
        <w:gridCol w:w="9900"/>
      </w:tblGrid>
      <w:tr>
        <w:trPr>
          <w:cantSplit/>
        </w:trPr>
        <w:tc>
          <w:tcPr>
            <w:tcW w:w="990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8EDE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/>
              <w:spacing w:after="20" w:line="276" w:lineRule="auto"/>
              <w:jc w:val="left"/>
            </w:pPr>
            <w:r>
              <w:rPr>
                <w:b/>
                <w:bCs/>
                <w:color w:val="921827"/>
                <w:sz w:val="16"/>
                <w:szCs w:val="16"/>
              </w:rPr>
              <w:t xml:space="preserve">Ponto-chave</w:t>
            </w:r>
          </w:p>
          <w:p>
            <w:pPr>
              <w:spacing w:after="40" w:line="276" w:lineRule="auto"/>
            </w:pPr>
            <w:r>
              <w:rPr>
                <w:sz w:val="16"/>
                <w:szCs w:val="16"/>
              </w:rPr>
              <w:t xml:space="preserve">Anemia com esquizócitos + plaquetopenia + </w:t>
            </w:r>
            <w:r>
              <w:rPr>
                <w:b/>
                <w:bCs/>
                <w:sz w:val="16"/>
                <w:szCs w:val="16"/>
              </w:rPr>
              <w:t xml:space="preserve">coagulograma normal</w:t>
            </w:r>
            <w:r>
              <w:rPr>
                <w:sz w:val="16"/>
                <w:szCs w:val="16"/>
              </w:rPr>
              <w:t xml:space="preserve"> em adulto = </w:t>
            </w:r>
            <w:r>
              <w:rPr>
                <w:b/>
                <w:bCs/>
                <w:sz w:val="16"/>
                <w:szCs w:val="16"/>
              </w:rPr>
              <w:t xml:space="preserve">PTT até prova em contrário</w:t>
            </w:r>
            <w:r>
              <w:rPr>
                <w:sz w:val="16"/>
                <w:szCs w:val="16"/>
              </w:rPr>
              <w:t xml:space="preserve">: colha ADAMTS13 e inicie a troca plasmática sem esperar o resultado (o escore PLASMIC ajuda a estimar a probabilidade).</w:t>
            </w:r>
          </w:p>
        </w:tc>
      </w:tr>
    </w:tbl>
    <w:p/>
    <w:p>
      <w:pPr>
        <w:pStyle w:val="Ttulo3"/>
      </w:pPr>
      <w:r>
        <w:rPr/>
        <w:t xml:space="preserve">Outras causas adquiridas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Hemólise mecânica:</w:t>
      </w:r>
      <w:r>
        <w:rPr/>
        <w:t xml:space="preserve"> próteses valvares (principalmente com vazamento), marcha prolongada (hemoglobinúria da marcha).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Infecções:</w:t>
      </w:r>
      <w:r>
        <w:rPr/>
        <w:t xml:space="preserve"> malária (P. falciparum), Clostridium perfringens (hemólise maciça), babesiose.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Agentes físicos e químicos:</w:t>
      </w:r>
      <w:r>
        <w:rPr/>
        <w:t xml:space="preserve"> queimaduras extensas, venenos (loxoscelismo, ofidismo), chumbo.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Reação transfusional hemolítica aguda:</w:t>
      </w:r>
      <w:r>
        <w:rPr/>
        <w:t xml:space="preserve"> incompatibilidade ABO; hemólise intravascular, febre, dor lombar, choque. Pare a transfusão imediatamente.</w:t>
      </w:r>
    </w:p>
    <w:tbl>
      <w:tblPr>
        <w:tblW w:w="9900" w:type="dxa"/>
        <w:tblLayout w:type="fixed"/>
      </w:tblPr>
      <w:tblGrid>
        <w:gridCol w:w="9900"/>
      </w:tblGrid>
      <w:tr>
        <w:trPr>
          <w:cantSplit/>
        </w:trPr>
        <w:tc>
          <w:tcPr>
            <w:tcW w:w="990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8EDE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/>
              <w:spacing w:after="20" w:line="276" w:lineRule="auto"/>
              <w:jc w:val="left"/>
            </w:pPr>
            <w:r>
              <w:rPr>
                <w:b/>
                <w:bCs/>
                <w:color w:val="921827"/>
                <w:sz w:val="16"/>
                <w:szCs w:val="16"/>
              </w:rPr>
              <w:t xml:space="preserve">Pontos-Chave</w:t>
            </w:r>
          </w:p>
          <w:p>
            <w:pPr>
              <w:numPr>
                <w:ilvl w:val="0"/>
                <w:numId w:val="1"/>
              </w:numPr>
              <w:spacing w:after="20" w:line="276" w:lineRule="auto"/>
              <w:jc w:val="left"/>
            </w:pPr>
            <w:r>
              <w:rPr>
                <w:sz w:val="16"/>
                <w:szCs w:val="16"/>
              </w:rPr>
              <w:t xml:space="preserve">Hemólise = anemia + </w:t>
            </w:r>
            <w:r>
              <w:rPr>
                <w:b/>
                <w:bCs/>
                <w:sz w:val="16"/>
                <w:szCs w:val="16"/>
              </w:rPr>
              <w:t xml:space="preserve">reticulocitose</w:t>
            </w:r>
            <w:r>
              <w:rPr>
                <w:sz w:val="16"/>
                <w:szCs w:val="16"/>
              </w:rPr>
              <w:t xml:space="preserve"> + LDH e bilirrubina indireta altas + haptoglobina baixa. Próximo passo: </w:t>
            </w:r>
            <w:r>
              <w:rPr>
                <w:b/>
                <w:bCs/>
                <w:sz w:val="16"/>
                <w:szCs w:val="16"/>
              </w:rPr>
              <w:t xml:space="preserve">Coombs direto</w:t>
            </w:r>
            <w:r>
              <w:rPr>
                <w:sz w:val="16"/>
                <w:szCs w:val="16"/>
              </w:rPr>
              <w:t xml:space="preserve"> e esfregaço.</w:t>
            </w:r>
          </w:p>
          <w:p>
            <w:pPr>
              <w:numPr>
                <w:ilvl w:val="0"/>
                <w:numId w:val="1"/>
              </w:numPr>
              <w:spacing w:after="20" w:line="276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Doença falciforme:</w:t>
            </w:r>
            <w:r>
              <w:rPr>
                <w:sz w:val="16"/>
                <w:szCs w:val="16"/>
              </w:rPr>
              <w:t xml:space="preserve"> mutação na β-globina (Glu → Val), autossômica recessiva; diagnóstico no </w:t>
            </w:r>
            <w:r>
              <w:rPr>
                <w:b/>
                <w:bCs/>
                <w:sz w:val="16"/>
                <w:szCs w:val="16"/>
              </w:rPr>
              <w:t xml:space="preserve">teste do pezinho</w:t>
            </w:r>
            <w:r>
              <w:rPr>
                <w:sz w:val="16"/>
                <w:szCs w:val="16"/>
              </w:rPr>
              <w:t xml:space="preserve"> e confirmação por eletroforese/HPLC.</w:t>
            </w:r>
          </w:p>
          <w:p>
            <w:pPr>
              <w:numPr>
                <w:ilvl w:val="0"/>
                <w:numId w:val="1"/>
              </w:numPr>
              <w:spacing w:after="20" w:line="276" w:lineRule="auto"/>
              <w:jc w:val="left"/>
            </w:pPr>
            <w:r>
              <w:rPr>
                <w:sz w:val="16"/>
                <w:szCs w:val="16"/>
              </w:rPr>
              <w:t xml:space="preserve">Na DF, </w:t>
            </w:r>
            <w:r>
              <w:rPr>
                <w:b/>
                <w:bCs/>
                <w:sz w:val="16"/>
                <w:szCs w:val="16"/>
              </w:rPr>
              <w:t xml:space="preserve">febre é emergência</w:t>
            </w:r>
            <w:r>
              <w:rPr>
                <w:sz w:val="16"/>
                <w:szCs w:val="16"/>
              </w:rPr>
              <w:t xml:space="preserve"> (ceftriaxona); </w:t>
            </w:r>
            <w:r>
              <w:rPr>
                <w:b/>
                <w:bCs/>
                <w:sz w:val="16"/>
                <w:szCs w:val="16"/>
              </w:rPr>
              <w:t xml:space="preserve">penicilina profilática dos 3 meses aos 5 anos</w:t>
            </w:r>
            <w:r>
              <w:rPr>
                <w:sz w:val="16"/>
                <w:szCs w:val="16"/>
              </w:rPr>
              <w:t xml:space="preserve">; Doppler transcraniano anual dos 2 aos 16 anos; hidroxiureia aumenta a HbF.</w:t>
            </w:r>
          </w:p>
          <w:p>
            <w:pPr>
              <w:numPr>
                <w:ilvl w:val="0"/>
                <w:numId w:val="1"/>
              </w:numPr>
              <w:spacing w:after="20" w:line="276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STA</w:t>
            </w:r>
            <w:r>
              <w:rPr>
                <w:sz w:val="16"/>
                <w:szCs w:val="16"/>
              </w:rPr>
              <w:t xml:space="preserve"> = infiltrado novo + sintomas respiratórios/febre: antibiótico, O₂, analgesia e transfusão. </w:t>
            </w:r>
            <w:r>
              <w:rPr>
                <w:b/>
                <w:bCs/>
                <w:sz w:val="16"/>
                <w:szCs w:val="16"/>
              </w:rPr>
              <w:t xml:space="preserve">Sequestro esplênico:</w:t>
            </w:r>
            <w:r>
              <w:rPr>
                <w:sz w:val="16"/>
                <w:szCs w:val="16"/>
              </w:rPr>
              <w:t xml:space="preserve"> baço cresce e Hb despenca. </w:t>
            </w:r>
            <w:r>
              <w:rPr>
                <w:b/>
                <w:bCs/>
                <w:sz w:val="16"/>
                <w:szCs w:val="16"/>
              </w:rPr>
              <w:t xml:space="preserve">Crise aplástica:</w:t>
            </w:r>
            <w:r>
              <w:rPr>
                <w:sz w:val="16"/>
                <w:szCs w:val="16"/>
              </w:rPr>
              <w:t xml:space="preserve"> parvovírus B19, reticulócitos baixos.</w:t>
            </w:r>
          </w:p>
          <w:p>
            <w:pPr>
              <w:numPr>
                <w:ilvl w:val="0"/>
                <w:numId w:val="1"/>
              </w:numPr>
              <w:spacing w:after="20" w:line="276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Traço talassêmico:</w:t>
            </w:r>
            <w:r>
              <w:rPr>
                <w:sz w:val="16"/>
                <w:szCs w:val="16"/>
              </w:rPr>
              <w:t xml:space="preserve"> microcitose com hemácias normais/altas, RDW normal, Mentzer &lt; 13 e HbA2 &gt; 3,5%. Não dar ferro sem ferropenia.</w:t>
            </w:r>
          </w:p>
          <w:p>
            <w:pPr>
              <w:numPr>
                <w:ilvl w:val="0"/>
                <w:numId w:val="1"/>
              </w:numPr>
              <w:spacing w:after="20" w:line="276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Esferocitose:</w:t>
            </w:r>
            <w:r>
              <w:rPr>
                <w:sz w:val="16"/>
                <w:szCs w:val="16"/>
              </w:rPr>
              <w:t xml:space="preserve"> esferócitos, CHCM alto, Coombs negativo, EMA; esplenectomia após os 6 anos com vacinas antes.</w:t>
            </w:r>
          </w:p>
          <w:p>
            <w:pPr>
              <w:numPr>
                <w:ilvl w:val="0"/>
                <w:numId w:val="1"/>
              </w:numPr>
              <w:spacing w:after="20" w:line="276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G6PD:</w:t>
            </w:r>
            <w:r>
              <w:rPr>
                <w:sz w:val="16"/>
                <w:szCs w:val="16"/>
              </w:rPr>
              <w:t xml:space="preserve"> ligada ao X, gatilhos oxidantes (infecção, fava, primaquina, dapsona, sulfas, rasburicase); dosagem pode ser normal na crise.</w:t>
            </w:r>
          </w:p>
          <w:p>
            <w:pPr>
              <w:numPr>
                <w:ilvl w:val="0"/>
                <w:numId w:val="1"/>
              </w:numPr>
              <w:spacing w:after="20" w:line="276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AHAI quente:</w:t>
            </w:r>
            <w:r>
              <w:rPr>
                <w:sz w:val="16"/>
                <w:szCs w:val="16"/>
              </w:rPr>
              <w:t xml:space="preserve"> IgG, esferócitos, prednisona 1 mg/kg. </w:t>
            </w:r>
            <w:r>
              <w:rPr>
                <w:b/>
                <w:bCs/>
                <w:sz w:val="16"/>
                <w:szCs w:val="16"/>
              </w:rPr>
              <w:t xml:space="preserve">Crioaglutininas:</w:t>
            </w:r>
            <w:r>
              <w:rPr>
                <w:sz w:val="16"/>
                <w:szCs w:val="16"/>
              </w:rPr>
              <w:t xml:space="preserve"> IgM/C3d, Mycoplasma/EBV/linfoma, evitar frio.</w:t>
            </w:r>
          </w:p>
          <w:p>
            <w:pPr>
              <w:numPr>
                <w:ilvl w:val="0"/>
                <w:numId w:val="1"/>
              </w:numPr>
              <w:spacing w:after="20" w:line="276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HPN:</w:t>
            </w:r>
            <w:r>
              <w:rPr>
                <w:sz w:val="16"/>
                <w:szCs w:val="16"/>
              </w:rPr>
              <w:t xml:space="preserve"> hemólise + trombose atípica + falência medular; citometria CD55/CD59. </w:t>
            </w:r>
            <w:r>
              <w:rPr>
                <w:b/>
                <w:bCs/>
                <w:sz w:val="16"/>
                <w:szCs w:val="16"/>
              </w:rPr>
              <w:t xml:space="preserve">PTT:</w:t>
            </w:r>
            <w:r>
              <w:rPr>
                <w:sz w:val="16"/>
                <w:szCs w:val="16"/>
              </w:rPr>
              <w:t xml:space="preserve"> ADAMTS13 &lt; 10%, troca plasmática urgente. </w:t>
            </w:r>
            <w:r>
              <w:rPr>
                <w:b/>
                <w:bCs/>
                <w:sz w:val="16"/>
                <w:szCs w:val="16"/>
              </w:rPr>
              <w:t xml:space="preserve">SHU típica:</w:t>
            </w:r>
            <w:r>
              <w:rPr>
                <w:sz w:val="16"/>
                <w:szCs w:val="16"/>
              </w:rPr>
              <w:t xml:space="preserve"> sem antibiótico.</w:t>
            </w:r>
          </w:p>
        </w:tc>
      </w:tr>
    </w:tbl>
    <w:p/>
    <w:p>
      <w:pPr>
        <w:pStyle w:val="Ttulo3"/>
      </w:pPr>
      <w:r>
        <w:rPr/>
        <w:t xml:space="preserve">Referências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Brasil. Ministério da Saúde. Doença falciforme: condutas básicas para tratamento. Brasília: Ministério da Saúde; 2012.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Brasil. Ministério da Saúde. Protocolo Clínico e Diretrizes Terapêuticas da Doença Falciforme. Portaria Conjunta SAS/SCTIE nº 05, de 19 de fevereiro de 2018. Brasília: Ministério da Saúde; 2018.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National Heart, Lung, and Blood Institute. Evidence-based management of sickle cell disease: expert panel report. Bethesda: NHLBI; 2014.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Brandow AM, Carroll CP, Creary S, et al. American Society of Hematology 2020 guidelines for sickle cell disease: management of acute and chronic pain. Blood Adv. 2020;4(12):2656-2701.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DeBaun MR, Jordan LC, King AA, et al. American Society of Hematology 2020 guidelines for sickle cell disease: prevention, diagnosis, and treatment of cerebrovascular disease in children and adults. Blood Adv. 2020;4(8):1554-1588.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Loscalzo J, Fauci AS, Kasper DL, Hauser SL, Longo DL, Jameson JL, editors. Harrison's principles of internal medicine. 21st ed. New York: McGraw Hill; 2022.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Jäger U, Barcellini W, Broome CM, et al. Diagnosis and treatment of autoimmune hemolytic anemia in adults: recommendations from the First International Consensus Meeting. Blood Rev. 2020;41:100648.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Zheng XL, Vesely SK, Cataland SR, et al. ISTH guidelines for the diagnosis of thrombotic thrombocytopenic purpura. J Thromb Haemost. 2020;18(10):2486-2495.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Cappellini MD, Farmakis D, Porter J, Taher A, editors. 2021 Guidelines for the management of transfusion dependent thalassaemia (TDT). 4th ed. Nicosia: Thalassaemia International Federation; 2021.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Bolton-Maggs PH, Langer JC, Iolascon A, Tittensor P, King MJ. Guidelines for the diagnosis and management of hereditary spherocytosis – 2011 update. Br J Haematol. 2012;156(1):37-49.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Luzzatto L, Ally M, Notaro R. Glucose-6-phosphate dehydrogenase deficiency. Blood. 2020;136(11):1225-1240.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Brodsky RA. Paroxysmal nocturnal hemoglobinuria. Blood. 2014;124(18):2804-2811.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Hoffbrand AV, Moss PAH. Fundamentos em hematologia de Hoffbrand. 7. ed. Porto Alegre: Artmed; 2018.</w:t>
      </w:r>
    </w:p>
    <w:sectPr w:rsidR="002E369D" w:rsidRPr="00295876" w:rsidSect="00422A14">
      <w:type w:val="continuous"/>
      <w:pgSz w:w="11906" w:h="16838"/>
      <w:pgMar w:top="964" w:right="964" w:bottom="964" w:left="964" w:header="794" w:footer="227" w:gutter="0"/>
      <w:cols w:space="34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A8AE19" w14:textId="77777777" w:rsidR="00A87142" w:rsidRDefault="00A87142" w:rsidP="00305855">
      <w:pPr>
        <w:spacing w:after="0" w:line="240" w:lineRule="auto"/>
      </w:pPr>
      <w:r>
        <w:separator/>
      </w:r>
    </w:p>
  </w:endnote>
  <w:endnote w:type="continuationSeparator" w:id="0">
    <w:p w14:paraId="17D3BABF" w14:textId="77777777" w:rsidR="00A87142" w:rsidRDefault="00A87142" w:rsidP="00305855">
      <w:pPr>
        <w:spacing w:after="0" w:line="240" w:lineRule="auto"/>
      </w:pPr>
      <w:r>
        <w:continuationSeparator/>
      </w:r>
    </w:p>
  </w:endnote>
  <w:endnote w:type="continuationNotice" w:id="1">
    <w:p w14:paraId="6B04F4C0" w14:textId="77777777" w:rsidR="00A87142" w:rsidRDefault="00A871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nzel Decorative Bold">
    <w:panose1 w:val="00000800000000000000"/>
    <w:charset w:val="4D"/>
    <w:family w:val="auto"/>
    <w:pitch w:val="variable"/>
    <w:sig w:usb0="00000007" w:usb1="00000000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inzel Decorative Black">
    <w:panose1 w:val="00000A00000000000000"/>
    <w:charset w:val="4D"/>
    <w:family w:val="auto"/>
    <w:pitch w:val="variable"/>
    <w:sig w:usb0="00000007" w:usb1="00000000" w:usb2="00000000" w:usb3="00000000" w:csb0="0000009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817462130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D343DE4" w14:textId="77777777" w:rsidR="009B1637" w:rsidRDefault="009B1637" w:rsidP="000730B1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612A58">
          <w:rPr>
            <w:rStyle w:val="Nmerodepgina"/>
            <w:noProof/>
          </w:rPr>
          <w:t>61</w:t>
        </w:r>
        <w:r>
          <w:rPr>
            <w:rStyle w:val="Nmerodepgina"/>
          </w:rPr>
          <w:fldChar w:fldCharType="end"/>
        </w:r>
      </w:p>
    </w:sdtContent>
  </w:sdt>
  <w:p w14:paraId="48371F6E" w14:textId="77777777" w:rsidR="009B1637" w:rsidRDefault="009B163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310FE9" w14:textId="77777777" w:rsidR="00F26E57" w:rsidRPr="00F26E57" w:rsidRDefault="00F26E57">
    <w:pPr>
      <w:pStyle w:val="Rodap"/>
      <w:jc w:val="center"/>
      <w:rPr>
        <w:rFonts w:ascii="Cinzel Decorative Black" w:hAnsi="Cinzel Decorative Black"/>
        <w:b/>
        <w:bCs/>
        <w:caps/>
        <w:color w:val="000000" w:themeColor="text1"/>
        <w:sz w:val="20"/>
        <w:szCs w:val="20"/>
      </w:rPr>
    </w:pPr>
    <w:r w:rsidRPr="00F26E57">
      <w:rPr>
        <w:rFonts w:ascii="Cinzel Decorative Black" w:hAnsi="Cinzel Decorative Black"/>
        <w:b/>
        <w:bCs/>
        <w:caps/>
        <w:color w:val="000000" w:themeColor="text1"/>
        <w:sz w:val="20"/>
        <w:szCs w:val="20"/>
      </w:rPr>
      <w:fldChar w:fldCharType="begin"/>
    </w:r>
    <w:r w:rsidRPr="00F26E57">
      <w:rPr>
        <w:rFonts w:ascii="Cinzel Decorative Black" w:hAnsi="Cinzel Decorative Black"/>
        <w:b/>
        <w:bCs/>
        <w:caps/>
        <w:color w:val="000000" w:themeColor="text1"/>
        <w:sz w:val="20"/>
        <w:szCs w:val="20"/>
      </w:rPr>
      <w:instrText>PAGE   \* MERGEFORMAT</w:instrText>
    </w:r>
    <w:r w:rsidRPr="00F26E57">
      <w:rPr>
        <w:rFonts w:ascii="Cinzel Decorative Black" w:hAnsi="Cinzel Decorative Black"/>
        <w:b/>
        <w:bCs/>
        <w:caps/>
        <w:color w:val="000000" w:themeColor="text1"/>
        <w:sz w:val="20"/>
        <w:szCs w:val="20"/>
      </w:rPr>
      <w:fldChar w:fldCharType="separate"/>
    </w:r>
    <w:r w:rsidRPr="00F26E57">
      <w:rPr>
        <w:rFonts w:ascii="Cinzel Decorative Black" w:hAnsi="Cinzel Decorative Black"/>
        <w:b/>
        <w:bCs/>
        <w:caps/>
        <w:color w:val="000000" w:themeColor="text1"/>
        <w:sz w:val="20"/>
        <w:szCs w:val="20"/>
      </w:rPr>
      <w:t>2</w:t>
    </w:r>
    <w:r w:rsidRPr="00F26E57">
      <w:rPr>
        <w:rFonts w:ascii="Cinzel Decorative Black" w:hAnsi="Cinzel Decorative Black"/>
        <w:b/>
        <w:bCs/>
        <w:caps/>
        <w:color w:val="000000" w:themeColor="text1"/>
        <w:sz w:val="20"/>
        <w:szCs w:val="20"/>
      </w:rPr>
      <w:fldChar w:fldCharType="end"/>
    </w:r>
  </w:p>
  <w:p w14:paraId="103C316B" w14:textId="77777777" w:rsidR="009B1637" w:rsidRDefault="009B163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6C5A1E" w14:textId="77777777" w:rsidR="00895944" w:rsidRDefault="008959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8527AE" w14:textId="77777777" w:rsidR="00A87142" w:rsidRDefault="00A87142" w:rsidP="00305855">
      <w:pPr>
        <w:spacing w:after="0" w:line="240" w:lineRule="auto"/>
      </w:pPr>
      <w:r>
        <w:separator/>
      </w:r>
    </w:p>
  </w:footnote>
  <w:footnote w:type="continuationSeparator" w:id="0">
    <w:p w14:paraId="16A388D0" w14:textId="77777777" w:rsidR="00A87142" w:rsidRDefault="00A87142" w:rsidP="00305855">
      <w:pPr>
        <w:spacing w:after="0" w:line="240" w:lineRule="auto"/>
      </w:pPr>
      <w:r>
        <w:continuationSeparator/>
      </w:r>
    </w:p>
  </w:footnote>
  <w:footnote w:type="continuationNotice" w:id="1">
    <w:p w14:paraId="78A0C863" w14:textId="77777777" w:rsidR="00A87142" w:rsidRDefault="00A8714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9BC116" w14:textId="77777777" w:rsidR="00895944" w:rsidRDefault="008959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3603BA" w14:textId="77777777" w:rsidR="00D932C0" w:rsidRDefault="00895944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74B257" wp14:editId="35F03E44">
              <wp:simplePos x="0" y="0"/>
              <wp:positionH relativeFrom="column">
                <wp:posOffset>5576883</wp:posOffset>
              </wp:positionH>
              <wp:positionV relativeFrom="paragraph">
                <wp:posOffset>-59277</wp:posOffset>
              </wp:positionV>
              <wp:extent cx="1227604" cy="286721"/>
              <wp:effectExtent l="0" t="0" r="0" b="0"/>
              <wp:wrapNone/>
              <wp:docPr id="22" name="Retângulo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27604" cy="2867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219A64" w14:textId="77777777" w:rsidR="00895944" w:rsidRPr="00CB0107" w:rsidRDefault="00895944" w:rsidP="00895944">
                          <w:pPr>
                            <w:jc w:val="center"/>
                            <w:rPr>
                              <w:rFonts w:ascii="Cinzel Decorative Bold" w:hAnsi="Cinzel Decorative Bold"/>
                              <w:b/>
                              <w:bCs/>
                              <w:color w:val="000000" w:themeColor="text1"/>
                              <w:sz w:val="11"/>
                              <w:szCs w:val="11"/>
                            </w:rPr>
                          </w:pPr>
                          <w:proofErr w:type="spellStart"/>
                          <w:r w:rsidRPr="00CB0107">
                            <w:rPr>
                              <w:rFonts w:ascii="Cinzel Decorative Bold" w:hAnsi="Cinzel Decorative Bold"/>
                              <w:b/>
                              <w:bCs/>
                              <w:color w:val="000000" w:themeColor="text1"/>
                              <w:sz w:val="11"/>
                              <w:szCs w:val="11"/>
                            </w:rPr>
                            <w:t>By</w:t>
                          </w:r>
                          <w:proofErr w:type="spellEnd"/>
                          <w:r w:rsidRPr="00CB0107">
                            <w:rPr>
                              <w:rFonts w:ascii="Cinzel Decorative Bold" w:hAnsi="Cinzel Decorative Bold"/>
                              <w:b/>
                              <w:bCs/>
                              <w:color w:val="000000" w:themeColor="text1"/>
                              <w:sz w:val="11"/>
                              <w:szCs w:val="11"/>
                            </w:rPr>
                            <w:t xml:space="preserve"> Laura Nunes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74B257" id="Retângulo 26" o:spid="_x0000_s1036" style="position:absolute;left:0;text-align:left;margin-left:439.1pt;margin-top:-4.65pt;width:96.65pt;height:2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" filled="f" stroked="f" strokeweight="1pt">
              <v:textbox>
                <w:txbxContent>
                  <w:p w14:paraId="10219A64" w14:textId="77777777" w:rsidR="00895944" w:rsidRPr="00CB0107" w:rsidRDefault="00895944" w:rsidP="00895944">
                    <w:pPr>
                      <w:jc w:val="center"/>
                      <w:rPr>
                        <w:rFonts w:ascii="Cinzel Decorative Bold" w:hAnsi="Cinzel Decorative Bold"/>
                        <w:b/>
                        <w:bCs/>
                        <w:color w:val="000000" w:themeColor="text1"/>
                        <w:sz w:val="11"/>
                        <w:szCs w:val="11"/>
                      </w:rPr>
                    </w:pPr>
                    <w:proofErr w:type="spellStart"/>
                    <w:r w:rsidRPr="00CB0107">
                      <w:rPr>
                        <w:rFonts w:ascii="Cinzel Decorative Bold" w:hAnsi="Cinzel Decorative Bold"/>
                        <w:b/>
                        <w:bCs/>
                        <w:color w:val="000000" w:themeColor="text1"/>
                        <w:sz w:val="11"/>
                        <w:szCs w:val="11"/>
                      </w:rPr>
                      <w:t>By</w:t>
                    </w:r>
                    <w:proofErr w:type="spellEnd"/>
                    <w:r w:rsidRPr="00CB0107">
                      <w:rPr>
                        <w:rFonts w:ascii="Cinzel Decorative Bold" w:hAnsi="Cinzel Decorative Bold"/>
                        <w:b/>
                        <w:bCs/>
                        <w:color w:val="000000" w:themeColor="text1"/>
                        <w:sz w:val="11"/>
                        <w:szCs w:val="11"/>
                      </w:rPr>
                      <w:t xml:space="preserve"> Laura Nunes</w:t>
                    </w:r>
                  </w:p>
                </w:txbxContent>
              </v:textbox>
            </v:rect>
          </w:pict>
        </mc:Fallback>
      </mc:AlternateContent>
    </w:r>
    <w:r w:rsidR="004D7A45">
      <w:rPr>
        <w:noProof/>
      </w:rPr>
      <w:drawing>
        <wp:anchor distT="0" distB="0" distL="114300" distR="114300" simplePos="0" relativeHeight="251655680" behindDoc="0" locked="0" layoutInCell="1" allowOverlap="1" wp14:anchorId="13787354" wp14:editId="461EF0DA">
          <wp:simplePos x="0" y="0"/>
          <wp:positionH relativeFrom="column">
            <wp:posOffset>6021070</wp:posOffset>
          </wp:positionH>
          <wp:positionV relativeFrom="paragraph">
            <wp:posOffset>-347882</wp:posOffset>
          </wp:positionV>
          <wp:extent cx="435616" cy="296060"/>
          <wp:effectExtent l="0" t="0" r="0" b="0"/>
          <wp:wrapNone/>
          <wp:docPr id="23" name="Imagem 17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m 17" descr="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616" cy="296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4F2816" w14:textId="77777777" w:rsidR="00895944" w:rsidRDefault="0089594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736FB"/>
    <w:multiLevelType w:val="multilevel"/>
    <w:tmpl w:val="E8F24F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1506EF3"/>
    <w:multiLevelType w:val="multilevel"/>
    <w:tmpl w:val="BC9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3E3C9"/>
    <w:multiLevelType w:val="multilevel"/>
    <w:tmpl w:val="E8F2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3B6E8"/>
    <w:multiLevelType w:val="multilevel"/>
    <w:tmpl w:val="BC9408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D8D20"/>
    <w:multiLevelType w:val="multilevel"/>
    <w:tmpl w:val="E8F2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87814A"/>
    <w:multiLevelType w:val="multilevel"/>
    <w:tmpl w:val="BC9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BC46E"/>
    <w:multiLevelType w:val="multilevel"/>
    <w:tmpl w:val="E8F2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04C00E"/>
    <w:multiLevelType w:val="multilevel"/>
    <w:tmpl w:val="BC9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7EA0F"/>
    <w:multiLevelType w:val="multilevel"/>
    <w:tmpl w:val="BC9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CE6651"/>
    <w:multiLevelType w:val="multilevel"/>
    <w:tmpl w:val="BC9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02747A"/>
    <w:multiLevelType w:val="multilevel"/>
    <w:tmpl w:val="BC9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6070B9"/>
    <w:multiLevelType w:val="multilevel"/>
    <w:tmpl w:val="BC9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7CC712"/>
    <w:multiLevelType w:val="multilevel"/>
    <w:tmpl w:val="E8F2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9C61BF"/>
    <w:multiLevelType w:val="multilevel"/>
    <w:tmpl w:val="E8F2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E800F9"/>
    <w:multiLevelType w:val="multilevel"/>
    <w:tmpl w:val="BC9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0758F1"/>
    <w:multiLevelType w:val="multilevel"/>
    <w:tmpl w:val="AED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81EAB"/>
    <w:multiLevelType w:val="multilevel"/>
    <w:tmpl w:val="92E26F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16809863">
    <w:abstractNumId w:val="3"/>
    <w:lvlOverride w:ilvl="0">
      <w:startOverride w:val="1"/>
    </w:lvlOverride>
  </w:num>
  <w:num w:numId="2" w16cid:durableId="548690570">
    <w:abstractNumId w:val="3"/>
    <w:lvlOverride w:ilvl="0">
      <w:startOverride w:val="1"/>
    </w:lvlOverride>
  </w:num>
  <w:num w:numId="3" w16cid:durableId="1832673980">
    <w:abstractNumId w:val="3"/>
    <w:lvlOverride w:ilvl="0">
      <w:startOverride w:val="1"/>
    </w:lvlOverride>
  </w:num>
  <w:num w:numId="4" w16cid:durableId="1307081976">
    <w:abstractNumId w:val="3"/>
    <w:lvlOverride w:ilvl="0">
      <w:startOverride w:val="1"/>
    </w:lvlOverride>
  </w:num>
  <w:num w:numId="5" w16cid:durableId="1654019610">
    <w:abstractNumId w:val="3"/>
    <w:lvlOverride w:ilvl="0">
      <w:startOverride w:val="1"/>
    </w:lvlOverride>
  </w:num>
  <w:num w:numId="6" w16cid:durableId="912736546">
    <w:abstractNumId w:val="3"/>
    <w:lvlOverride w:ilvl="0">
      <w:startOverride w:val="1"/>
    </w:lvlOverride>
  </w:num>
  <w:num w:numId="7" w16cid:durableId="730544698">
    <w:abstractNumId w:val="3"/>
    <w:lvlOverride w:ilvl="0">
      <w:startOverride w:val="1"/>
    </w:lvlOverride>
  </w:num>
  <w:num w:numId="8" w16cid:durableId="935093960">
    <w:abstractNumId w:val="3"/>
    <w:lvlOverride w:ilvl="0">
      <w:startOverride w:val="1"/>
    </w:lvlOverride>
  </w:num>
  <w:num w:numId="9" w16cid:durableId="592133218">
    <w:abstractNumId w:val="3"/>
    <w:lvlOverride w:ilvl="0">
      <w:startOverride w:val="1"/>
    </w:lvlOverride>
  </w:num>
  <w:num w:numId="10" w16cid:durableId="1236471508">
    <w:abstractNumId w:val="3"/>
    <w:lvlOverride w:ilvl="0">
      <w:startOverride w:val="1"/>
    </w:lvlOverride>
  </w:num>
  <w:num w:numId="11" w16cid:durableId="574820768">
    <w:abstractNumId w:val="3"/>
    <w:lvlOverride w:ilvl="0">
      <w:startOverride w:val="1"/>
    </w:lvlOverride>
  </w:num>
  <w:num w:numId="12" w16cid:durableId="691491857">
    <w:abstractNumId w:val="3"/>
    <w:lvlOverride w:ilvl="0">
      <w:startOverride w:val="1"/>
    </w:lvlOverride>
  </w:num>
  <w:num w:numId="13" w16cid:durableId="1655715132">
    <w:abstractNumId w:val="3"/>
    <w:lvlOverride w:ilvl="0">
      <w:startOverride w:val="1"/>
    </w:lvlOverride>
  </w:num>
  <w:num w:numId="14" w16cid:durableId="2049449418">
    <w:abstractNumId w:val="3"/>
    <w:lvlOverride w:ilvl="0">
      <w:startOverride w:val="1"/>
    </w:lvlOverride>
  </w:num>
  <w:num w:numId="15" w16cid:durableId="337510458">
    <w:abstractNumId w:val="6"/>
    <w:lvlOverride w:ilvl="0">
      <w:startOverride w:val="1"/>
    </w:lvlOverride>
  </w:num>
  <w:num w:numId="16" w16cid:durableId="539366866">
    <w:abstractNumId w:val="10"/>
  </w:num>
  <w:num w:numId="17" w16cid:durableId="1838032482">
    <w:abstractNumId w:val="7"/>
  </w:num>
  <w:num w:numId="18" w16cid:durableId="1824808962">
    <w:abstractNumId w:val="11"/>
    <w:lvlOverride w:ilvl="0">
      <w:startOverride w:val="1"/>
    </w:lvlOverride>
  </w:num>
  <w:num w:numId="19" w16cid:durableId="126553842">
    <w:abstractNumId w:val="11"/>
    <w:lvlOverride w:ilvl="0">
      <w:startOverride w:val="1"/>
    </w:lvlOverride>
  </w:num>
  <w:num w:numId="20" w16cid:durableId="62990744">
    <w:abstractNumId w:val="11"/>
    <w:lvlOverride w:ilvl="0">
      <w:startOverride w:val="1"/>
    </w:lvlOverride>
  </w:num>
  <w:num w:numId="21" w16cid:durableId="39867073">
    <w:abstractNumId w:val="11"/>
    <w:lvlOverride w:ilvl="0">
      <w:startOverride w:val="1"/>
    </w:lvlOverride>
  </w:num>
  <w:num w:numId="22" w16cid:durableId="1617907828">
    <w:abstractNumId w:val="11"/>
    <w:lvlOverride w:ilvl="0">
      <w:startOverride w:val="1"/>
    </w:lvlOverride>
  </w:num>
  <w:num w:numId="23" w16cid:durableId="670329600">
    <w:abstractNumId w:val="12"/>
    <w:lvlOverride w:ilvl="0">
      <w:startOverride w:val="1"/>
    </w:lvlOverride>
  </w:num>
  <w:num w:numId="24" w16cid:durableId="280574620">
    <w:abstractNumId w:val="11"/>
    <w:lvlOverride w:ilvl="0">
      <w:startOverride w:val="1"/>
    </w:lvlOverride>
  </w:num>
  <w:num w:numId="25" w16cid:durableId="974480584">
    <w:abstractNumId w:val="12"/>
    <w:lvlOverride w:ilvl="0">
      <w:startOverride w:val="1"/>
    </w:lvlOverride>
  </w:num>
  <w:num w:numId="26" w16cid:durableId="520431887">
    <w:abstractNumId w:val="11"/>
    <w:lvlOverride w:ilvl="0">
      <w:startOverride w:val="1"/>
    </w:lvlOverride>
  </w:num>
  <w:num w:numId="27" w16cid:durableId="1126390734">
    <w:abstractNumId w:val="1"/>
  </w:num>
  <w:num w:numId="28" w16cid:durableId="1861624663">
    <w:abstractNumId w:val="11"/>
    <w:lvlOverride w:ilvl="0">
      <w:startOverride w:val="1"/>
    </w:lvlOverride>
  </w:num>
  <w:num w:numId="29" w16cid:durableId="1665622047">
    <w:abstractNumId w:val="11"/>
    <w:lvlOverride w:ilvl="0">
      <w:startOverride w:val="1"/>
    </w:lvlOverride>
  </w:num>
  <w:num w:numId="30" w16cid:durableId="2140151411">
    <w:abstractNumId w:val="11"/>
    <w:lvlOverride w:ilvl="0">
      <w:startOverride w:val="1"/>
    </w:lvlOverride>
  </w:num>
  <w:num w:numId="31" w16cid:durableId="369034773">
    <w:abstractNumId w:val="11"/>
    <w:lvlOverride w:ilvl="0">
      <w:startOverride w:val="1"/>
    </w:lvlOverride>
  </w:num>
  <w:num w:numId="32" w16cid:durableId="1140732942">
    <w:abstractNumId w:val="11"/>
    <w:lvlOverride w:ilvl="0">
      <w:startOverride w:val="1"/>
    </w:lvlOverride>
  </w:num>
  <w:num w:numId="33" w16cid:durableId="1897007603">
    <w:abstractNumId w:val="12"/>
    <w:lvlOverride w:ilvl="0">
      <w:startOverride w:val="1"/>
    </w:lvlOverride>
  </w:num>
  <w:num w:numId="34" w16cid:durableId="1259218196">
    <w:abstractNumId w:val="8"/>
    <w:lvlOverride w:ilvl="0">
      <w:startOverride w:val="1"/>
    </w:lvlOverride>
  </w:num>
  <w:num w:numId="35" w16cid:durableId="1199928927">
    <w:abstractNumId w:val="8"/>
    <w:lvlOverride w:ilvl="0">
      <w:startOverride w:val="1"/>
    </w:lvlOverride>
  </w:num>
  <w:num w:numId="36" w16cid:durableId="1096944945">
    <w:abstractNumId w:val="8"/>
    <w:lvlOverride w:ilvl="0">
      <w:startOverride w:val="1"/>
    </w:lvlOverride>
  </w:num>
  <w:num w:numId="37" w16cid:durableId="986669497">
    <w:abstractNumId w:val="8"/>
    <w:lvlOverride w:ilvl="0">
      <w:startOverride w:val="1"/>
    </w:lvlOverride>
  </w:num>
  <w:num w:numId="38" w16cid:durableId="1587105615">
    <w:abstractNumId w:val="8"/>
    <w:lvlOverride w:ilvl="0">
      <w:startOverride w:val="1"/>
    </w:lvlOverride>
  </w:num>
  <w:num w:numId="39" w16cid:durableId="779566073">
    <w:abstractNumId w:val="8"/>
    <w:lvlOverride w:ilvl="0">
      <w:startOverride w:val="1"/>
    </w:lvlOverride>
  </w:num>
  <w:num w:numId="40" w16cid:durableId="2068717473">
    <w:abstractNumId w:val="8"/>
    <w:lvlOverride w:ilvl="0">
      <w:startOverride w:val="1"/>
    </w:lvlOverride>
  </w:num>
  <w:num w:numId="41" w16cid:durableId="1624186580">
    <w:abstractNumId w:val="8"/>
    <w:lvlOverride w:ilvl="0">
      <w:startOverride w:val="1"/>
    </w:lvlOverride>
  </w:num>
  <w:num w:numId="42" w16cid:durableId="1427968880">
    <w:abstractNumId w:val="8"/>
    <w:lvlOverride w:ilvl="0">
      <w:startOverride w:val="1"/>
    </w:lvlOverride>
  </w:num>
  <w:num w:numId="43" w16cid:durableId="958486809">
    <w:abstractNumId w:val="8"/>
    <w:lvlOverride w:ilvl="0">
      <w:startOverride w:val="1"/>
    </w:lvlOverride>
  </w:num>
  <w:num w:numId="44" w16cid:durableId="702176463">
    <w:abstractNumId w:val="8"/>
    <w:lvlOverride w:ilvl="0">
      <w:startOverride w:val="1"/>
    </w:lvlOverride>
  </w:num>
  <w:num w:numId="45" w16cid:durableId="472067291">
    <w:abstractNumId w:val="8"/>
    <w:lvlOverride w:ilvl="0">
      <w:startOverride w:val="1"/>
    </w:lvlOverride>
  </w:num>
  <w:num w:numId="46" w16cid:durableId="2039500552">
    <w:abstractNumId w:val="8"/>
    <w:lvlOverride w:ilvl="0">
      <w:startOverride w:val="1"/>
    </w:lvlOverride>
  </w:num>
  <w:num w:numId="47" w16cid:durableId="2039620174">
    <w:abstractNumId w:val="8"/>
    <w:lvlOverride w:ilvl="0">
      <w:startOverride w:val="1"/>
    </w:lvlOverride>
  </w:num>
  <w:num w:numId="48" w16cid:durableId="1372919044">
    <w:abstractNumId w:val="0"/>
    <w:lvlOverride w:ilvl="0">
      <w:startOverride w:val="1"/>
    </w:lvlOverride>
  </w:num>
  <w:num w:numId="49" w16cid:durableId="522941002">
    <w:abstractNumId w:val="14"/>
    <w:lvlOverride w:ilvl="0">
      <w:startOverride w:val="1"/>
    </w:lvlOverride>
  </w:num>
  <w:num w:numId="50" w16cid:durableId="679432892">
    <w:abstractNumId w:val="14"/>
    <w:lvlOverride w:ilvl="0">
      <w:startOverride w:val="1"/>
    </w:lvlOverride>
  </w:num>
  <w:num w:numId="51" w16cid:durableId="294259027">
    <w:abstractNumId w:val="14"/>
    <w:lvlOverride w:ilvl="0">
      <w:startOverride w:val="1"/>
    </w:lvlOverride>
  </w:num>
  <w:num w:numId="52" w16cid:durableId="895358006">
    <w:abstractNumId w:val="14"/>
    <w:lvlOverride w:ilvl="0">
      <w:startOverride w:val="1"/>
    </w:lvlOverride>
  </w:num>
  <w:num w:numId="53" w16cid:durableId="1942640074">
    <w:abstractNumId w:val="14"/>
    <w:lvlOverride w:ilvl="0">
      <w:startOverride w:val="1"/>
    </w:lvlOverride>
  </w:num>
  <w:num w:numId="54" w16cid:durableId="1426195145">
    <w:abstractNumId w:val="14"/>
    <w:lvlOverride w:ilvl="0">
      <w:startOverride w:val="1"/>
    </w:lvlOverride>
  </w:num>
  <w:num w:numId="55" w16cid:durableId="1943603642">
    <w:abstractNumId w:val="14"/>
    <w:lvlOverride w:ilvl="0">
      <w:startOverride w:val="1"/>
    </w:lvlOverride>
  </w:num>
  <w:num w:numId="56" w16cid:durableId="1765878414">
    <w:abstractNumId w:val="13"/>
    <w:lvlOverride w:ilvl="0">
      <w:startOverride w:val="1"/>
    </w:lvlOverride>
  </w:num>
  <w:num w:numId="57" w16cid:durableId="219437253">
    <w:abstractNumId w:val="14"/>
    <w:lvlOverride w:ilvl="0">
      <w:startOverride w:val="1"/>
    </w:lvlOverride>
  </w:num>
  <w:num w:numId="58" w16cid:durableId="885677264">
    <w:abstractNumId w:val="14"/>
    <w:lvlOverride w:ilvl="0">
      <w:startOverride w:val="1"/>
    </w:lvlOverride>
  </w:num>
  <w:num w:numId="59" w16cid:durableId="1354915853">
    <w:abstractNumId w:val="14"/>
    <w:lvlOverride w:ilvl="0">
      <w:startOverride w:val="1"/>
    </w:lvlOverride>
  </w:num>
  <w:num w:numId="60" w16cid:durableId="1270158603">
    <w:abstractNumId w:val="13"/>
    <w:lvlOverride w:ilvl="0">
      <w:startOverride w:val="1"/>
    </w:lvlOverride>
  </w:num>
  <w:num w:numId="61" w16cid:durableId="1200893135">
    <w:abstractNumId w:val="4"/>
    <w:lvlOverride w:ilvl="0">
      <w:startOverride w:val="1"/>
    </w:lvlOverride>
  </w:num>
  <w:num w:numId="62" w16cid:durableId="82460368">
    <w:abstractNumId w:val="5"/>
    <w:lvlOverride w:ilvl="0">
      <w:startOverride w:val="1"/>
    </w:lvlOverride>
  </w:num>
  <w:num w:numId="63" w16cid:durableId="2060936910">
    <w:abstractNumId w:val="5"/>
    <w:lvlOverride w:ilvl="0">
      <w:startOverride w:val="1"/>
    </w:lvlOverride>
  </w:num>
  <w:num w:numId="64" w16cid:durableId="999768913">
    <w:abstractNumId w:val="5"/>
    <w:lvlOverride w:ilvl="0">
      <w:startOverride w:val="1"/>
    </w:lvlOverride>
  </w:num>
  <w:num w:numId="65" w16cid:durableId="1812288009">
    <w:abstractNumId w:val="5"/>
    <w:lvlOverride w:ilvl="0">
      <w:startOverride w:val="1"/>
    </w:lvlOverride>
  </w:num>
  <w:num w:numId="66" w16cid:durableId="625084548">
    <w:abstractNumId w:val="5"/>
    <w:lvlOverride w:ilvl="0">
      <w:startOverride w:val="1"/>
    </w:lvlOverride>
  </w:num>
  <w:num w:numId="67" w16cid:durableId="137655201">
    <w:abstractNumId w:val="5"/>
    <w:lvlOverride w:ilvl="0">
      <w:startOverride w:val="1"/>
    </w:lvlOverride>
  </w:num>
  <w:num w:numId="68" w16cid:durableId="769397660">
    <w:abstractNumId w:val="5"/>
    <w:lvlOverride w:ilvl="0">
      <w:startOverride w:val="1"/>
    </w:lvlOverride>
  </w:num>
  <w:num w:numId="69" w16cid:durableId="727848782">
    <w:abstractNumId w:val="5"/>
    <w:lvlOverride w:ilvl="0">
      <w:startOverride w:val="1"/>
    </w:lvlOverride>
  </w:num>
  <w:num w:numId="70" w16cid:durableId="527183203">
    <w:abstractNumId w:val="4"/>
    <w:lvlOverride w:ilvl="0">
      <w:startOverride w:val="1"/>
    </w:lvlOverride>
  </w:num>
  <w:num w:numId="71" w16cid:durableId="588123086">
    <w:abstractNumId w:val="9"/>
    <w:lvlOverride w:ilvl="0">
      <w:startOverride w:val="1"/>
    </w:lvlOverride>
  </w:num>
  <w:num w:numId="72" w16cid:durableId="401484994">
    <w:abstractNumId w:val="9"/>
    <w:lvlOverride w:ilvl="0">
      <w:startOverride w:val="1"/>
    </w:lvlOverride>
  </w:num>
  <w:num w:numId="73" w16cid:durableId="925303341">
    <w:abstractNumId w:val="9"/>
    <w:lvlOverride w:ilvl="0">
      <w:startOverride w:val="1"/>
    </w:lvlOverride>
  </w:num>
  <w:num w:numId="74" w16cid:durableId="74061726">
    <w:abstractNumId w:val="9"/>
    <w:lvlOverride w:ilvl="0">
      <w:startOverride w:val="1"/>
    </w:lvlOverride>
  </w:num>
  <w:num w:numId="75" w16cid:durableId="553736949">
    <w:abstractNumId w:val="9"/>
    <w:lvlOverride w:ilvl="0">
      <w:startOverride w:val="1"/>
    </w:lvlOverride>
  </w:num>
  <w:num w:numId="76" w16cid:durableId="1129979333">
    <w:abstractNumId w:val="2"/>
    <w:lvlOverride w:ilvl="0">
      <w:startOverride w:val="1"/>
    </w:lvlOverride>
  </w:num>
  <w:num w:numId="77" w16cid:durableId="1974403243">
    <w:abstractNumId w:val="0"/>
    <w:lvlOverride w:ilvl="0">
      <w:startOverride w:val="1"/>
    </w:lvlOverride>
  </w:num>
  <w:num w:numId="78" w16cid:durableId="89350975">
    <w:abstractNumId w:val="0"/>
    <w:lvlOverride w:ilvl="0">
      <w:startOverride w:val="1"/>
    </w:lvlOverride>
  </w:num>
  <w:num w:numId="79" w16cid:durableId="1994599541">
    <w:abstractNumId w:val="0"/>
    <w:lvlOverride w:ilvl="0">
      <w:startOverride w:val="1"/>
    </w:lvlOverride>
  </w:num>
  <w:num w:numId="80" w16cid:durableId="2022008710">
    <w:abstractNumId w:val="0"/>
    <w:lvlOverride w:ilvl="0">
      <w:startOverride w:val="1"/>
    </w:lvlOverride>
  </w:num>
  <w:num w:numId="81" w16cid:durableId="1472210605">
    <w:abstractNumId w:val="0"/>
    <w:lvlOverride w:ilvl="0">
      <w:startOverride w:val="1"/>
    </w:lvlOverride>
  </w:num>
  <w:num w:numId="82" w16cid:durableId="123431464">
    <w:abstractNumId w:val="0"/>
    <w:lvlOverride w:ilvl="0">
      <w:startOverride w:val="1"/>
    </w:lvlOverride>
  </w:num>
  <w:num w:numId="83" w16cid:durableId="978731840">
    <w:abstractNumId w:val="0"/>
    <w:lvlOverride w:ilvl="0">
      <w:startOverride w:val="1"/>
    </w:lvlOverride>
  </w:num>
  <w:num w:numId="84" w16cid:durableId="718819601">
    <w:abstractNumId w:val="0"/>
    <w:lvlOverride w:ilvl="0">
      <w:startOverride w:val="1"/>
    </w:lvlOverride>
  </w:num>
  <w:num w:numId="85" w16cid:durableId="239755661">
    <w:abstractNumId w:val="16"/>
  </w:num>
  <w:num w:numId="86" w16cid:durableId="324091307">
    <w:abstractNumId w:val="15"/>
  </w:num>
  <w:numIdMacAtCleanup w:val="7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updateFields w:val="true"/>
  <w:zoom w:percent="85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55"/>
    <w:rsid w:val="000009FE"/>
    <w:rsid w:val="00000B4C"/>
    <w:rsid w:val="0000142E"/>
    <w:rsid w:val="000033DC"/>
    <w:rsid w:val="000051F2"/>
    <w:rsid w:val="0001069A"/>
    <w:rsid w:val="00011A03"/>
    <w:rsid w:val="000126C3"/>
    <w:rsid w:val="00012DAD"/>
    <w:rsid w:val="000158DE"/>
    <w:rsid w:val="00017FAA"/>
    <w:rsid w:val="00020F9A"/>
    <w:rsid w:val="0002296D"/>
    <w:rsid w:val="0002491C"/>
    <w:rsid w:val="00027597"/>
    <w:rsid w:val="00033EE9"/>
    <w:rsid w:val="00034639"/>
    <w:rsid w:val="0004046A"/>
    <w:rsid w:val="0004469D"/>
    <w:rsid w:val="00045A85"/>
    <w:rsid w:val="00045C66"/>
    <w:rsid w:val="00046240"/>
    <w:rsid w:val="00047588"/>
    <w:rsid w:val="000513F9"/>
    <w:rsid w:val="00055BFF"/>
    <w:rsid w:val="00057D2D"/>
    <w:rsid w:val="000647F5"/>
    <w:rsid w:val="0006494B"/>
    <w:rsid w:val="000676C9"/>
    <w:rsid w:val="00070229"/>
    <w:rsid w:val="000704BA"/>
    <w:rsid w:val="00073A5B"/>
    <w:rsid w:val="000741BD"/>
    <w:rsid w:val="00074EBC"/>
    <w:rsid w:val="000803B8"/>
    <w:rsid w:val="00080D68"/>
    <w:rsid w:val="0008125D"/>
    <w:rsid w:val="000815B9"/>
    <w:rsid w:val="00087F6F"/>
    <w:rsid w:val="00090573"/>
    <w:rsid w:val="00094B86"/>
    <w:rsid w:val="00095128"/>
    <w:rsid w:val="000968C2"/>
    <w:rsid w:val="000A0402"/>
    <w:rsid w:val="000A0889"/>
    <w:rsid w:val="000A0CF3"/>
    <w:rsid w:val="000A0D61"/>
    <w:rsid w:val="000A348A"/>
    <w:rsid w:val="000A7DC8"/>
    <w:rsid w:val="000B0FF6"/>
    <w:rsid w:val="000B45D9"/>
    <w:rsid w:val="000B5AC1"/>
    <w:rsid w:val="000B7FF9"/>
    <w:rsid w:val="000C0300"/>
    <w:rsid w:val="000C0E4F"/>
    <w:rsid w:val="000C14B8"/>
    <w:rsid w:val="000C2213"/>
    <w:rsid w:val="000C2658"/>
    <w:rsid w:val="000C37B2"/>
    <w:rsid w:val="000C37DE"/>
    <w:rsid w:val="000C5371"/>
    <w:rsid w:val="000D2534"/>
    <w:rsid w:val="000D2969"/>
    <w:rsid w:val="000D3934"/>
    <w:rsid w:val="000D6A97"/>
    <w:rsid w:val="000F11B5"/>
    <w:rsid w:val="000F11CE"/>
    <w:rsid w:val="000F2565"/>
    <w:rsid w:val="000F2732"/>
    <w:rsid w:val="00103B0F"/>
    <w:rsid w:val="00103D1E"/>
    <w:rsid w:val="00105468"/>
    <w:rsid w:val="001069C6"/>
    <w:rsid w:val="001119AA"/>
    <w:rsid w:val="0011354F"/>
    <w:rsid w:val="00114270"/>
    <w:rsid w:val="00117208"/>
    <w:rsid w:val="0012281D"/>
    <w:rsid w:val="001228AC"/>
    <w:rsid w:val="00124924"/>
    <w:rsid w:val="00126195"/>
    <w:rsid w:val="00135AB1"/>
    <w:rsid w:val="0013702E"/>
    <w:rsid w:val="001450CC"/>
    <w:rsid w:val="00145E81"/>
    <w:rsid w:val="00150338"/>
    <w:rsid w:val="00153C13"/>
    <w:rsid w:val="001545C0"/>
    <w:rsid w:val="00161466"/>
    <w:rsid w:val="001643E3"/>
    <w:rsid w:val="001658A4"/>
    <w:rsid w:val="00166654"/>
    <w:rsid w:val="00177271"/>
    <w:rsid w:val="0018074E"/>
    <w:rsid w:val="00180F96"/>
    <w:rsid w:val="00182118"/>
    <w:rsid w:val="0018462D"/>
    <w:rsid w:val="00185304"/>
    <w:rsid w:val="0018715B"/>
    <w:rsid w:val="001944A8"/>
    <w:rsid w:val="001976AE"/>
    <w:rsid w:val="001976E2"/>
    <w:rsid w:val="001A1C86"/>
    <w:rsid w:val="001A5BF0"/>
    <w:rsid w:val="001B248B"/>
    <w:rsid w:val="001B263C"/>
    <w:rsid w:val="001B5785"/>
    <w:rsid w:val="001B5C0B"/>
    <w:rsid w:val="001B6CA2"/>
    <w:rsid w:val="001C702A"/>
    <w:rsid w:val="001C7ED9"/>
    <w:rsid w:val="001D13DC"/>
    <w:rsid w:val="001D16A3"/>
    <w:rsid w:val="001D497F"/>
    <w:rsid w:val="001D59C9"/>
    <w:rsid w:val="001D7FE4"/>
    <w:rsid w:val="001E0E3E"/>
    <w:rsid w:val="001E1421"/>
    <w:rsid w:val="001E2203"/>
    <w:rsid w:val="001F0D85"/>
    <w:rsid w:val="001F485B"/>
    <w:rsid w:val="001F60D0"/>
    <w:rsid w:val="001F7227"/>
    <w:rsid w:val="001F7D8E"/>
    <w:rsid w:val="00200B26"/>
    <w:rsid w:val="00210E3C"/>
    <w:rsid w:val="002114CB"/>
    <w:rsid w:val="00211782"/>
    <w:rsid w:val="0021313A"/>
    <w:rsid w:val="00213340"/>
    <w:rsid w:val="0021610C"/>
    <w:rsid w:val="00217E82"/>
    <w:rsid w:val="00222C0D"/>
    <w:rsid w:val="00223C4C"/>
    <w:rsid w:val="00230F83"/>
    <w:rsid w:val="002318A5"/>
    <w:rsid w:val="00231E6A"/>
    <w:rsid w:val="00233EBF"/>
    <w:rsid w:val="0024707C"/>
    <w:rsid w:val="00252A05"/>
    <w:rsid w:val="00252C17"/>
    <w:rsid w:val="0025337A"/>
    <w:rsid w:val="002543AE"/>
    <w:rsid w:val="00254984"/>
    <w:rsid w:val="002551B0"/>
    <w:rsid w:val="002620B9"/>
    <w:rsid w:val="00262F28"/>
    <w:rsid w:val="002643DA"/>
    <w:rsid w:val="0026471F"/>
    <w:rsid w:val="00272847"/>
    <w:rsid w:val="00276D46"/>
    <w:rsid w:val="0028152D"/>
    <w:rsid w:val="0028261D"/>
    <w:rsid w:val="00283EA1"/>
    <w:rsid w:val="00293C73"/>
    <w:rsid w:val="00293E75"/>
    <w:rsid w:val="00293E78"/>
    <w:rsid w:val="00295876"/>
    <w:rsid w:val="00296C8D"/>
    <w:rsid w:val="00297CAB"/>
    <w:rsid w:val="002A1AAF"/>
    <w:rsid w:val="002B013C"/>
    <w:rsid w:val="002B3453"/>
    <w:rsid w:val="002C19FE"/>
    <w:rsid w:val="002C2690"/>
    <w:rsid w:val="002C36E3"/>
    <w:rsid w:val="002C617A"/>
    <w:rsid w:val="002C6C97"/>
    <w:rsid w:val="002C72D6"/>
    <w:rsid w:val="002D0D95"/>
    <w:rsid w:val="002D1097"/>
    <w:rsid w:val="002D5CEC"/>
    <w:rsid w:val="002E0A9D"/>
    <w:rsid w:val="002E3176"/>
    <w:rsid w:val="002E369D"/>
    <w:rsid w:val="002E3A7A"/>
    <w:rsid w:val="002E47E1"/>
    <w:rsid w:val="002E55E6"/>
    <w:rsid w:val="002F1D04"/>
    <w:rsid w:val="002F1DEB"/>
    <w:rsid w:val="0030397D"/>
    <w:rsid w:val="0030582E"/>
    <w:rsid w:val="00305855"/>
    <w:rsid w:val="003113D3"/>
    <w:rsid w:val="00312358"/>
    <w:rsid w:val="0031723D"/>
    <w:rsid w:val="00325981"/>
    <w:rsid w:val="00326050"/>
    <w:rsid w:val="0032700C"/>
    <w:rsid w:val="0033076E"/>
    <w:rsid w:val="00331421"/>
    <w:rsid w:val="00331E40"/>
    <w:rsid w:val="00331F1B"/>
    <w:rsid w:val="003321FB"/>
    <w:rsid w:val="003338CB"/>
    <w:rsid w:val="00336911"/>
    <w:rsid w:val="003427D2"/>
    <w:rsid w:val="00344F1B"/>
    <w:rsid w:val="00356063"/>
    <w:rsid w:val="00360405"/>
    <w:rsid w:val="0037076D"/>
    <w:rsid w:val="003713C4"/>
    <w:rsid w:val="003733E8"/>
    <w:rsid w:val="00373B48"/>
    <w:rsid w:val="0037408E"/>
    <w:rsid w:val="00383879"/>
    <w:rsid w:val="00385093"/>
    <w:rsid w:val="00387C05"/>
    <w:rsid w:val="00387F2C"/>
    <w:rsid w:val="00391F0A"/>
    <w:rsid w:val="00392B83"/>
    <w:rsid w:val="00393E73"/>
    <w:rsid w:val="00396EBC"/>
    <w:rsid w:val="00397B5B"/>
    <w:rsid w:val="003A262E"/>
    <w:rsid w:val="003A2FF0"/>
    <w:rsid w:val="003A57F6"/>
    <w:rsid w:val="003B56D3"/>
    <w:rsid w:val="003B7F59"/>
    <w:rsid w:val="003C0B77"/>
    <w:rsid w:val="003C1FA6"/>
    <w:rsid w:val="003C3C73"/>
    <w:rsid w:val="003C4FBE"/>
    <w:rsid w:val="003D3F7A"/>
    <w:rsid w:val="003E07B9"/>
    <w:rsid w:val="003E5847"/>
    <w:rsid w:val="003E6CD8"/>
    <w:rsid w:val="003F3E9A"/>
    <w:rsid w:val="003F45A3"/>
    <w:rsid w:val="004000C5"/>
    <w:rsid w:val="00401AB9"/>
    <w:rsid w:val="00403F16"/>
    <w:rsid w:val="00404A3D"/>
    <w:rsid w:val="004107E1"/>
    <w:rsid w:val="0041241E"/>
    <w:rsid w:val="00413DB3"/>
    <w:rsid w:val="00416D8C"/>
    <w:rsid w:val="00417304"/>
    <w:rsid w:val="00422A14"/>
    <w:rsid w:val="00424F34"/>
    <w:rsid w:val="00427084"/>
    <w:rsid w:val="0043431B"/>
    <w:rsid w:val="00436089"/>
    <w:rsid w:val="004361CF"/>
    <w:rsid w:val="004401BA"/>
    <w:rsid w:val="00441C9D"/>
    <w:rsid w:val="004440CF"/>
    <w:rsid w:val="0044531D"/>
    <w:rsid w:val="00446B43"/>
    <w:rsid w:val="00453FBD"/>
    <w:rsid w:val="00467294"/>
    <w:rsid w:val="00467D46"/>
    <w:rsid w:val="0047737E"/>
    <w:rsid w:val="004845A3"/>
    <w:rsid w:val="004900ED"/>
    <w:rsid w:val="00490BC8"/>
    <w:rsid w:val="00490CCC"/>
    <w:rsid w:val="004945CD"/>
    <w:rsid w:val="00495256"/>
    <w:rsid w:val="004A3BF8"/>
    <w:rsid w:val="004A4F17"/>
    <w:rsid w:val="004A73CD"/>
    <w:rsid w:val="004A7ACD"/>
    <w:rsid w:val="004B03F9"/>
    <w:rsid w:val="004B07F7"/>
    <w:rsid w:val="004B0FDF"/>
    <w:rsid w:val="004B49F9"/>
    <w:rsid w:val="004C1DCA"/>
    <w:rsid w:val="004C3B5A"/>
    <w:rsid w:val="004C5BF7"/>
    <w:rsid w:val="004D14A7"/>
    <w:rsid w:val="004D1E40"/>
    <w:rsid w:val="004D1F1A"/>
    <w:rsid w:val="004D2563"/>
    <w:rsid w:val="004D3D2B"/>
    <w:rsid w:val="004D4BAC"/>
    <w:rsid w:val="004D500F"/>
    <w:rsid w:val="004D7A45"/>
    <w:rsid w:val="004E0E35"/>
    <w:rsid w:val="004E2C44"/>
    <w:rsid w:val="004E4130"/>
    <w:rsid w:val="004E5F03"/>
    <w:rsid w:val="004E711E"/>
    <w:rsid w:val="004E7B69"/>
    <w:rsid w:val="004F09DE"/>
    <w:rsid w:val="004F2643"/>
    <w:rsid w:val="004F69BA"/>
    <w:rsid w:val="004F6F6C"/>
    <w:rsid w:val="005104F9"/>
    <w:rsid w:val="00514A56"/>
    <w:rsid w:val="00514E02"/>
    <w:rsid w:val="00517089"/>
    <w:rsid w:val="005177E4"/>
    <w:rsid w:val="005179E7"/>
    <w:rsid w:val="00520DFD"/>
    <w:rsid w:val="00521106"/>
    <w:rsid w:val="005276D4"/>
    <w:rsid w:val="00536585"/>
    <w:rsid w:val="0054187D"/>
    <w:rsid w:val="005425A3"/>
    <w:rsid w:val="00546901"/>
    <w:rsid w:val="00550C39"/>
    <w:rsid w:val="00551BAF"/>
    <w:rsid w:val="00557435"/>
    <w:rsid w:val="00557642"/>
    <w:rsid w:val="0055777E"/>
    <w:rsid w:val="005613E5"/>
    <w:rsid w:val="005620B2"/>
    <w:rsid w:val="00566BA9"/>
    <w:rsid w:val="00571ABE"/>
    <w:rsid w:val="005852F2"/>
    <w:rsid w:val="005904A6"/>
    <w:rsid w:val="00591F49"/>
    <w:rsid w:val="005B1EFD"/>
    <w:rsid w:val="005B427D"/>
    <w:rsid w:val="005B4355"/>
    <w:rsid w:val="005B45C1"/>
    <w:rsid w:val="005B743A"/>
    <w:rsid w:val="005B775C"/>
    <w:rsid w:val="005C30F1"/>
    <w:rsid w:val="005C353A"/>
    <w:rsid w:val="005C48C5"/>
    <w:rsid w:val="005C5BF0"/>
    <w:rsid w:val="005C6F4C"/>
    <w:rsid w:val="005D00AC"/>
    <w:rsid w:val="005D0B41"/>
    <w:rsid w:val="005D11E1"/>
    <w:rsid w:val="005E18F2"/>
    <w:rsid w:val="005E1FC3"/>
    <w:rsid w:val="005E264E"/>
    <w:rsid w:val="005E4CDC"/>
    <w:rsid w:val="005E5286"/>
    <w:rsid w:val="005F23DD"/>
    <w:rsid w:val="005F36C3"/>
    <w:rsid w:val="005F6771"/>
    <w:rsid w:val="005F73AB"/>
    <w:rsid w:val="00601183"/>
    <w:rsid w:val="00601BDE"/>
    <w:rsid w:val="006072AF"/>
    <w:rsid w:val="00612A58"/>
    <w:rsid w:val="0062438C"/>
    <w:rsid w:val="00625438"/>
    <w:rsid w:val="00630819"/>
    <w:rsid w:val="00630A87"/>
    <w:rsid w:val="00635B0C"/>
    <w:rsid w:val="00635F87"/>
    <w:rsid w:val="00636B06"/>
    <w:rsid w:val="006378B0"/>
    <w:rsid w:val="0064163A"/>
    <w:rsid w:val="00646701"/>
    <w:rsid w:val="00646B05"/>
    <w:rsid w:val="0065182E"/>
    <w:rsid w:val="006519EA"/>
    <w:rsid w:val="0065267C"/>
    <w:rsid w:val="00654CFD"/>
    <w:rsid w:val="006566A7"/>
    <w:rsid w:val="006618C2"/>
    <w:rsid w:val="00663D3B"/>
    <w:rsid w:val="00664DCA"/>
    <w:rsid w:val="00670552"/>
    <w:rsid w:val="0067132B"/>
    <w:rsid w:val="006739A7"/>
    <w:rsid w:val="00674BF9"/>
    <w:rsid w:val="0067641B"/>
    <w:rsid w:val="00676504"/>
    <w:rsid w:val="006767BB"/>
    <w:rsid w:val="00682204"/>
    <w:rsid w:val="00684C75"/>
    <w:rsid w:val="0068790B"/>
    <w:rsid w:val="00692A41"/>
    <w:rsid w:val="006B0274"/>
    <w:rsid w:val="006B14C9"/>
    <w:rsid w:val="006B45B2"/>
    <w:rsid w:val="006B6892"/>
    <w:rsid w:val="006B6C34"/>
    <w:rsid w:val="006B73BA"/>
    <w:rsid w:val="006C0785"/>
    <w:rsid w:val="006C17A6"/>
    <w:rsid w:val="006C2B22"/>
    <w:rsid w:val="006C3AC3"/>
    <w:rsid w:val="006C602F"/>
    <w:rsid w:val="006C6714"/>
    <w:rsid w:val="006C6E36"/>
    <w:rsid w:val="006D24F2"/>
    <w:rsid w:val="006D43C8"/>
    <w:rsid w:val="006D4D61"/>
    <w:rsid w:val="006D5F60"/>
    <w:rsid w:val="006D6F91"/>
    <w:rsid w:val="006D7385"/>
    <w:rsid w:val="006D73A6"/>
    <w:rsid w:val="006D7A69"/>
    <w:rsid w:val="006E2A45"/>
    <w:rsid w:val="006E504E"/>
    <w:rsid w:val="006E50BD"/>
    <w:rsid w:val="006F3283"/>
    <w:rsid w:val="006F5371"/>
    <w:rsid w:val="006F546D"/>
    <w:rsid w:val="006F75AF"/>
    <w:rsid w:val="00703BF6"/>
    <w:rsid w:val="007042AC"/>
    <w:rsid w:val="00705B3F"/>
    <w:rsid w:val="00712EDD"/>
    <w:rsid w:val="00714690"/>
    <w:rsid w:val="007159CD"/>
    <w:rsid w:val="007162F4"/>
    <w:rsid w:val="00720EE0"/>
    <w:rsid w:val="00722A75"/>
    <w:rsid w:val="00723944"/>
    <w:rsid w:val="00723C7B"/>
    <w:rsid w:val="007306BB"/>
    <w:rsid w:val="007318F0"/>
    <w:rsid w:val="00735AA7"/>
    <w:rsid w:val="0074329A"/>
    <w:rsid w:val="00747EF1"/>
    <w:rsid w:val="0075509E"/>
    <w:rsid w:val="00755A03"/>
    <w:rsid w:val="00764D11"/>
    <w:rsid w:val="00771C03"/>
    <w:rsid w:val="00783EB6"/>
    <w:rsid w:val="00784957"/>
    <w:rsid w:val="00785D2D"/>
    <w:rsid w:val="0079089D"/>
    <w:rsid w:val="00790AB8"/>
    <w:rsid w:val="00797DEF"/>
    <w:rsid w:val="007A3301"/>
    <w:rsid w:val="007A4A5B"/>
    <w:rsid w:val="007A5E9B"/>
    <w:rsid w:val="007B1512"/>
    <w:rsid w:val="007B4796"/>
    <w:rsid w:val="007B5D33"/>
    <w:rsid w:val="007C1B82"/>
    <w:rsid w:val="007D08DC"/>
    <w:rsid w:val="007D20E6"/>
    <w:rsid w:val="007D5962"/>
    <w:rsid w:val="007D63D6"/>
    <w:rsid w:val="007D66F5"/>
    <w:rsid w:val="007E2FB1"/>
    <w:rsid w:val="007F04CD"/>
    <w:rsid w:val="007F5ACF"/>
    <w:rsid w:val="007F5EBB"/>
    <w:rsid w:val="007F669E"/>
    <w:rsid w:val="007F7222"/>
    <w:rsid w:val="008027BC"/>
    <w:rsid w:val="0080496F"/>
    <w:rsid w:val="0080676D"/>
    <w:rsid w:val="00815A60"/>
    <w:rsid w:val="0081687F"/>
    <w:rsid w:val="008169B5"/>
    <w:rsid w:val="0082031E"/>
    <w:rsid w:val="008209CA"/>
    <w:rsid w:val="00823262"/>
    <w:rsid w:val="00825AF6"/>
    <w:rsid w:val="00825B93"/>
    <w:rsid w:val="00825DC6"/>
    <w:rsid w:val="0082771E"/>
    <w:rsid w:val="00830A5B"/>
    <w:rsid w:val="00832FA3"/>
    <w:rsid w:val="0083781D"/>
    <w:rsid w:val="00837A96"/>
    <w:rsid w:val="008432D3"/>
    <w:rsid w:val="00843881"/>
    <w:rsid w:val="00845E52"/>
    <w:rsid w:val="00847772"/>
    <w:rsid w:val="00847F36"/>
    <w:rsid w:val="008520AD"/>
    <w:rsid w:val="008523D9"/>
    <w:rsid w:val="008535CB"/>
    <w:rsid w:val="008556FE"/>
    <w:rsid w:val="00861FEA"/>
    <w:rsid w:val="008724E9"/>
    <w:rsid w:val="00872E7D"/>
    <w:rsid w:val="008739E4"/>
    <w:rsid w:val="00874188"/>
    <w:rsid w:val="008756DD"/>
    <w:rsid w:val="00880C25"/>
    <w:rsid w:val="00882CB5"/>
    <w:rsid w:val="00885AE0"/>
    <w:rsid w:val="0089157C"/>
    <w:rsid w:val="00891A6F"/>
    <w:rsid w:val="00893C5A"/>
    <w:rsid w:val="00895944"/>
    <w:rsid w:val="00895E69"/>
    <w:rsid w:val="008973C4"/>
    <w:rsid w:val="008A1A85"/>
    <w:rsid w:val="008A5D7B"/>
    <w:rsid w:val="008A63E1"/>
    <w:rsid w:val="008B1AE5"/>
    <w:rsid w:val="008B4644"/>
    <w:rsid w:val="008B4B4A"/>
    <w:rsid w:val="008B6F98"/>
    <w:rsid w:val="008C3A44"/>
    <w:rsid w:val="008C3C1A"/>
    <w:rsid w:val="008C74CC"/>
    <w:rsid w:val="008D1117"/>
    <w:rsid w:val="008D33DE"/>
    <w:rsid w:val="008D4B74"/>
    <w:rsid w:val="008E0DF7"/>
    <w:rsid w:val="008E12E7"/>
    <w:rsid w:val="008E4A8C"/>
    <w:rsid w:val="008E4E93"/>
    <w:rsid w:val="008F02D5"/>
    <w:rsid w:val="008F35D0"/>
    <w:rsid w:val="009038EC"/>
    <w:rsid w:val="0090616C"/>
    <w:rsid w:val="009102A5"/>
    <w:rsid w:val="00911526"/>
    <w:rsid w:val="00915CA1"/>
    <w:rsid w:val="009207D3"/>
    <w:rsid w:val="0092665D"/>
    <w:rsid w:val="00927885"/>
    <w:rsid w:val="009305D1"/>
    <w:rsid w:val="00933F1E"/>
    <w:rsid w:val="0093507D"/>
    <w:rsid w:val="00941105"/>
    <w:rsid w:val="00941ADD"/>
    <w:rsid w:val="00941F12"/>
    <w:rsid w:val="00943015"/>
    <w:rsid w:val="009523DA"/>
    <w:rsid w:val="0095429B"/>
    <w:rsid w:val="0095551A"/>
    <w:rsid w:val="00957B4A"/>
    <w:rsid w:val="0096044F"/>
    <w:rsid w:val="00963126"/>
    <w:rsid w:val="009638B2"/>
    <w:rsid w:val="00965635"/>
    <w:rsid w:val="00967089"/>
    <w:rsid w:val="009678E7"/>
    <w:rsid w:val="00973C96"/>
    <w:rsid w:val="00977E85"/>
    <w:rsid w:val="009814C6"/>
    <w:rsid w:val="0098362E"/>
    <w:rsid w:val="00984CB8"/>
    <w:rsid w:val="00986778"/>
    <w:rsid w:val="00991512"/>
    <w:rsid w:val="00994E29"/>
    <w:rsid w:val="009A03B0"/>
    <w:rsid w:val="009A1AB4"/>
    <w:rsid w:val="009A1C19"/>
    <w:rsid w:val="009A533F"/>
    <w:rsid w:val="009A7103"/>
    <w:rsid w:val="009B087A"/>
    <w:rsid w:val="009B1637"/>
    <w:rsid w:val="009B1D44"/>
    <w:rsid w:val="009B202E"/>
    <w:rsid w:val="009B41F1"/>
    <w:rsid w:val="009B7DE1"/>
    <w:rsid w:val="009D04AB"/>
    <w:rsid w:val="009D15D9"/>
    <w:rsid w:val="009D3837"/>
    <w:rsid w:val="009D7904"/>
    <w:rsid w:val="009D7989"/>
    <w:rsid w:val="009E0BE1"/>
    <w:rsid w:val="009E22C0"/>
    <w:rsid w:val="009E54AA"/>
    <w:rsid w:val="009E5979"/>
    <w:rsid w:val="009E7F0A"/>
    <w:rsid w:val="009F1BA9"/>
    <w:rsid w:val="009F2DCD"/>
    <w:rsid w:val="00A026EA"/>
    <w:rsid w:val="00A03A80"/>
    <w:rsid w:val="00A151BD"/>
    <w:rsid w:val="00A157E9"/>
    <w:rsid w:val="00A17AE2"/>
    <w:rsid w:val="00A17E3A"/>
    <w:rsid w:val="00A23643"/>
    <w:rsid w:val="00A24291"/>
    <w:rsid w:val="00A25B6E"/>
    <w:rsid w:val="00A27B58"/>
    <w:rsid w:val="00A325DD"/>
    <w:rsid w:val="00A32F4C"/>
    <w:rsid w:val="00A33054"/>
    <w:rsid w:val="00A33A87"/>
    <w:rsid w:val="00A342D4"/>
    <w:rsid w:val="00A34DBF"/>
    <w:rsid w:val="00A3531A"/>
    <w:rsid w:val="00A430FF"/>
    <w:rsid w:val="00A43EC7"/>
    <w:rsid w:val="00A45AEA"/>
    <w:rsid w:val="00A51D5A"/>
    <w:rsid w:val="00A5268B"/>
    <w:rsid w:val="00A54B61"/>
    <w:rsid w:val="00A55AE2"/>
    <w:rsid w:val="00A55C28"/>
    <w:rsid w:val="00A57193"/>
    <w:rsid w:val="00A60983"/>
    <w:rsid w:val="00A60B35"/>
    <w:rsid w:val="00A64D18"/>
    <w:rsid w:val="00A6536A"/>
    <w:rsid w:val="00A660F0"/>
    <w:rsid w:val="00A706D5"/>
    <w:rsid w:val="00A71CFE"/>
    <w:rsid w:val="00A73311"/>
    <w:rsid w:val="00A779C6"/>
    <w:rsid w:val="00A83D4E"/>
    <w:rsid w:val="00A8415A"/>
    <w:rsid w:val="00A86367"/>
    <w:rsid w:val="00A87021"/>
    <w:rsid w:val="00A87142"/>
    <w:rsid w:val="00A91555"/>
    <w:rsid w:val="00A93041"/>
    <w:rsid w:val="00A95218"/>
    <w:rsid w:val="00A96679"/>
    <w:rsid w:val="00AA27A5"/>
    <w:rsid w:val="00AA4074"/>
    <w:rsid w:val="00AB052C"/>
    <w:rsid w:val="00AB2663"/>
    <w:rsid w:val="00AB3D46"/>
    <w:rsid w:val="00AB42BF"/>
    <w:rsid w:val="00AB606B"/>
    <w:rsid w:val="00AC20D5"/>
    <w:rsid w:val="00AC4084"/>
    <w:rsid w:val="00AC5EF6"/>
    <w:rsid w:val="00AD0D57"/>
    <w:rsid w:val="00AD1AB9"/>
    <w:rsid w:val="00AD26FC"/>
    <w:rsid w:val="00AE0493"/>
    <w:rsid w:val="00AE0DD5"/>
    <w:rsid w:val="00AE0F34"/>
    <w:rsid w:val="00AE13B8"/>
    <w:rsid w:val="00AE2B36"/>
    <w:rsid w:val="00AE4AC2"/>
    <w:rsid w:val="00AE4FAF"/>
    <w:rsid w:val="00AE50CC"/>
    <w:rsid w:val="00AE5AC1"/>
    <w:rsid w:val="00AE6B0F"/>
    <w:rsid w:val="00AF464A"/>
    <w:rsid w:val="00B003CC"/>
    <w:rsid w:val="00B1008A"/>
    <w:rsid w:val="00B12EFE"/>
    <w:rsid w:val="00B154FD"/>
    <w:rsid w:val="00B21803"/>
    <w:rsid w:val="00B218C3"/>
    <w:rsid w:val="00B24D1D"/>
    <w:rsid w:val="00B334D4"/>
    <w:rsid w:val="00B34AE6"/>
    <w:rsid w:val="00B34C63"/>
    <w:rsid w:val="00B367EF"/>
    <w:rsid w:val="00B4172A"/>
    <w:rsid w:val="00B439A3"/>
    <w:rsid w:val="00B4457E"/>
    <w:rsid w:val="00B454D5"/>
    <w:rsid w:val="00B45E55"/>
    <w:rsid w:val="00B46E61"/>
    <w:rsid w:val="00B52CC1"/>
    <w:rsid w:val="00B53A8F"/>
    <w:rsid w:val="00B55863"/>
    <w:rsid w:val="00B55930"/>
    <w:rsid w:val="00B55CBD"/>
    <w:rsid w:val="00B65808"/>
    <w:rsid w:val="00B66198"/>
    <w:rsid w:val="00B718E0"/>
    <w:rsid w:val="00B72A48"/>
    <w:rsid w:val="00B72D91"/>
    <w:rsid w:val="00B8099E"/>
    <w:rsid w:val="00B823EA"/>
    <w:rsid w:val="00B82D4A"/>
    <w:rsid w:val="00B8746B"/>
    <w:rsid w:val="00B91975"/>
    <w:rsid w:val="00B9320E"/>
    <w:rsid w:val="00B9359D"/>
    <w:rsid w:val="00B975FC"/>
    <w:rsid w:val="00BB2D23"/>
    <w:rsid w:val="00BC0676"/>
    <w:rsid w:val="00BC4688"/>
    <w:rsid w:val="00BC6D02"/>
    <w:rsid w:val="00BC6D85"/>
    <w:rsid w:val="00BC737D"/>
    <w:rsid w:val="00BD170F"/>
    <w:rsid w:val="00BD2C52"/>
    <w:rsid w:val="00BD361A"/>
    <w:rsid w:val="00BD508A"/>
    <w:rsid w:val="00BE2CFE"/>
    <w:rsid w:val="00BE4617"/>
    <w:rsid w:val="00BE557E"/>
    <w:rsid w:val="00BE5EA5"/>
    <w:rsid w:val="00BF289A"/>
    <w:rsid w:val="00C0129A"/>
    <w:rsid w:val="00C015CF"/>
    <w:rsid w:val="00C152D1"/>
    <w:rsid w:val="00C15F45"/>
    <w:rsid w:val="00C17120"/>
    <w:rsid w:val="00C252D6"/>
    <w:rsid w:val="00C25D83"/>
    <w:rsid w:val="00C26905"/>
    <w:rsid w:val="00C36526"/>
    <w:rsid w:val="00C36DD0"/>
    <w:rsid w:val="00C37511"/>
    <w:rsid w:val="00C411DB"/>
    <w:rsid w:val="00C43ACF"/>
    <w:rsid w:val="00C43E89"/>
    <w:rsid w:val="00C450BC"/>
    <w:rsid w:val="00C46CB0"/>
    <w:rsid w:val="00C47916"/>
    <w:rsid w:val="00C50DCB"/>
    <w:rsid w:val="00C50FE5"/>
    <w:rsid w:val="00C51403"/>
    <w:rsid w:val="00C539ED"/>
    <w:rsid w:val="00C541B6"/>
    <w:rsid w:val="00C61C69"/>
    <w:rsid w:val="00C6368F"/>
    <w:rsid w:val="00C70060"/>
    <w:rsid w:val="00C8098B"/>
    <w:rsid w:val="00C829C9"/>
    <w:rsid w:val="00C83F4F"/>
    <w:rsid w:val="00C86D14"/>
    <w:rsid w:val="00C870C2"/>
    <w:rsid w:val="00C93EF3"/>
    <w:rsid w:val="00C953D0"/>
    <w:rsid w:val="00CA0ACF"/>
    <w:rsid w:val="00CA3B1D"/>
    <w:rsid w:val="00CA55BF"/>
    <w:rsid w:val="00CA664C"/>
    <w:rsid w:val="00CB0107"/>
    <w:rsid w:val="00CB0471"/>
    <w:rsid w:val="00CB08B0"/>
    <w:rsid w:val="00CB0A23"/>
    <w:rsid w:val="00CB150E"/>
    <w:rsid w:val="00CB4503"/>
    <w:rsid w:val="00CB5A9A"/>
    <w:rsid w:val="00CC25A6"/>
    <w:rsid w:val="00CC4DB4"/>
    <w:rsid w:val="00CC51C5"/>
    <w:rsid w:val="00CC73EA"/>
    <w:rsid w:val="00CD2BFB"/>
    <w:rsid w:val="00CD67BD"/>
    <w:rsid w:val="00CD7C7A"/>
    <w:rsid w:val="00CE0818"/>
    <w:rsid w:val="00CE66D7"/>
    <w:rsid w:val="00CE6715"/>
    <w:rsid w:val="00CE6CD1"/>
    <w:rsid w:val="00CE6D0C"/>
    <w:rsid w:val="00CE7E90"/>
    <w:rsid w:val="00CF0E66"/>
    <w:rsid w:val="00CF1C13"/>
    <w:rsid w:val="00D008E1"/>
    <w:rsid w:val="00D114D3"/>
    <w:rsid w:val="00D1249D"/>
    <w:rsid w:val="00D21971"/>
    <w:rsid w:val="00D2490A"/>
    <w:rsid w:val="00D2582A"/>
    <w:rsid w:val="00D30DC8"/>
    <w:rsid w:val="00D3171F"/>
    <w:rsid w:val="00D35E91"/>
    <w:rsid w:val="00D361F9"/>
    <w:rsid w:val="00D372B5"/>
    <w:rsid w:val="00D42A83"/>
    <w:rsid w:val="00D45F4D"/>
    <w:rsid w:val="00D462C8"/>
    <w:rsid w:val="00D468A9"/>
    <w:rsid w:val="00D51710"/>
    <w:rsid w:val="00D522F4"/>
    <w:rsid w:val="00D52681"/>
    <w:rsid w:val="00D5287B"/>
    <w:rsid w:val="00D54BC1"/>
    <w:rsid w:val="00D623AA"/>
    <w:rsid w:val="00D62550"/>
    <w:rsid w:val="00D6367C"/>
    <w:rsid w:val="00D63F55"/>
    <w:rsid w:val="00D6621C"/>
    <w:rsid w:val="00D70E9F"/>
    <w:rsid w:val="00D713E6"/>
    <w:rsid w:val="00D7209D"/>
    <w:rsid w:val="00D73A46"/>
    <w:rsid w:val="00D74A66"/>
    <w:rsid w:val="00D74BC8"/>
    <w:rsid w:val="00D76785"/>
    <w:rsid w:val="00D76D8F"/>
    <w:rsid w:val="00D773DD"/>
    <w:rsid w:val="00D9235B"/>
    <w:rsid w:val="00D924DA"/>
    <w:rsid w:val="00D932C0"/>
    <w:rsid w:val="00D9649D"/>
    <w:rsid w:val="00D97794"/>
    <w:rsid w:val="00D97AEE"/>
    <w:rsid w:val="00DA578C"/>
    <w:rsid w:val="00DA58C4"/>
    <w:rsid w:val="00DA5CF5"/>
    <w:rsid w:val="00DB11E2"/>
    <w:rsid w:val="00DB384A"/>
    <w:rsid w:val="00DB5A3E"/>
    <w:rsid w:val="00DC3AC6"/>
    <w:rsid w:val="00DC6590"/>
    <w:rsid w:val="00DC7D42"/>
    <w:rsid w:val="00DE03A5"/>
    <w:rsid w:val="00DE34AA"/>
    <w:rsid w:val="00DE4282"/>
    <w:rsid w:val="00DE62D5"/>
    <w:rsid w:val="00DE7D71"/>
    <w:rsid w:val="00DF4009"/>
    <w:rsid w:val="00DF6CDA"/>
    <w:rsid w:val="00E00B8D"/>
    <w:rsid w:val="00E015FA"/>
    <w:rsid w:val="00E03C9D"/>
    <w:rsid w:val="00E04FCA"/>
    <w:rsid w:val="00E132B0"/>
    <w:rsid w:val="00E14D3B"/>
    <w:rsid w:val="00E15E27"/>
    <w:rsid w:val="00E176CA"/>
    <w:rsid w:val="00E24CE3"/>
    <w:rsid w:val="00E300C5"/>
    <w:rsid w:val="00E40964"/>
    <w:rsid w:val="00E41297"/>
    <w:rsid w:val="00E4323D"/>
    <w:rsid w:val="00E463AB"/>
    <w:rsid w:val="00E466D7"/>
    <w:rsid w:val="00E538B7"/>
    <w:rsid w:val="00E54A5C"/>
    <w:rsid w:val="00E558F8"/>
    <w:rsid w:val="00E57443"/>
    <w:rsid w:val="00E6230A"/>
    <w:rsid w:val="00E65BD9"/>
    <w:rsid w:val="00E664DA"/>
    <w:rsid w:val="00E71213"/>
    <w:rsid w:val="00E7190B"/>
    <w:rsid w:val="00E76498"/>
    <w:rsid w:val="00E80190"/>
    <w:rsid w:val="00E810BB"/>
    <w:rsid w:val="00E8635B"/>
    <w:rsid w:val="00E8757E"/>
    <w:rsid w:val="00E90DDF"/>
    <w:rsid w:val="00E9272D"/>
    <w:rsid w:val="00E93077"/>
    <w:rsid w:val="00E93771"/>
    <w:rsid w:val="00E97CE5"/>
    <w:rsid w:val="00EA2094"/>
    <w:rsid w:val="00EA3412"/>
    <w:rsid w:val="00EA676A"/>
    <w:rsid w:val="00EB0447"/>
    <w:rsid w:val="00EB42CA"/>
    <w:rsid w:val="00EC1187"/>
    <w:rsid w:val="00EC187A"/>
    <w:rsid w:val="00EC1BD3"/>
    <w:rsid w:val="00EC5D50"/>
    <w:rsid w:val="00EC624D"/>
    <w:rsid w:val="00EC7094"/>
    <w:rsid w:val="00EC7D52"/>
    <w:rsid w:val="00ED2720"/>
    <w:rsid w:val="00ED4A2D"/>
    <w:rsid w:val="00ED5B4B"/>
    <w:rsid w:val="00EE3033"/>
    <w:rsid w:val="00EF5942"/>
    <w:rsid w:val="00EF5C7B"/>
    <w:rsid w:val="00EF75FC"/>
    <w:rsid w:val="00F14E78"/>
    <w:rsid w:val="00F22AFD"/>
    <w:rsid w:val="00F23271"/>
    <w:rsid w:val="00F26E57"/>
    <w:rsid w:val="00F272AB"/>
    <w:rsid w:val="00F30A9B"/>
    <w:rsid w:val="00F328EC"/>
    <w:rsid w:val="00F34D02"/>
    <w:rsid w:val="00F3519C"/>
    <w:rsid w:val="00F364BB"/>
    <w:rsid w:val="00F367AB"/>
    <w:rsid w:val="00F37825"/>
    <w:rsid w:val="00F37B2D"/>
    <w:rsid w:val="00F41079"/>
    <w:rsid w:val="00F415D9"/>
    <w:rsid w:val="00F42627"/>
    <w:rsid w:val="00F47D27"/>
    <w:rsid w:val="00F53831"/>
    <w:rsid w:val="00F550A4"/>
    <w:rsid w:val="00F55590"/>
    <w:rsid w:val="00F6055D"/>
    <w:rsid w:val="00F64E69"/>
    <w:rsid w:val="00F65D85"/>
    <w:rsid w:val="00F66DFA"/>
    <w:rsid w:val="00F70DC5"/>
    <w:rsid w:val="00F72F1C"/>
    <w:rsid w:val="00F75BFA"/>
    <w:rsid w:val="00F7783A"/>
    <w:rsid w:val="00F801FD"/>
    <w:rsid w:val="00F831EE"/>
    <w:rsid w:val="00F83F0C"/>
    <w:rsid w:val="00F85181"/>
    <w:rsid w:val="00F87554"/>
    <w:rsid w:val="00F90CF5"/>
    <w:rsid w:val="00F90DD7"/>
    <w:rsid w:val="00F912AE"/>
    <w:rsid w:val="00F91BBD"/>
    <w:rsid w:val="00F9221D"/>
    <w:rsid w:val="00F922F5"/>
    <w:rsid w:val="00F925D7"/>
    <w:rsid w:val="00F960C2"/>
    <w:rsid w:val="00F9640E"/>
    <w:rsid w:val="00F973DC"/>
    <w:rsid w:val="00FA43B8"/>
    <w:rsid w:val="00FA558E"/>
    <w:rsid w:val="00FA6031"/>
    <w:rsid w:val="00FB03C7"/>
    <w:rsid w:val="00FB0903"/>
    <w:rsid w:val="00FB2338"/>
    <w:rsid w:val="00FB6031"/>
    <w:rsid w:val="00FC371C"/>
    <w:rsid w:val="00FD20D4"/>
    <w:rsid w:val="00FD22BD"/>
    <w:rsid w:val="00FD2B13"/>
    <w:rsid w:val="00FD31F2"/>
    <w:rsid w:val="00FD4850"/>
    <w:rsid w:val="00FD58F0"/>
    <w:rsid w:val="00FD605E"/>
    <w:rsid w:val="00FD7172"/>
    <w:rsid w:val="00FE0F4C"/>
    <w:rsid w:val="00FE1325"/>
    <w:rsid w:val="00FE77F1"/>
    <w:rsid w:val="00FE7B53"/>
    <w:rsid w:val="00FF01C8"/>
    <w:rsid w:val="00FF3547"/>
    <w:rsid w:val="00FF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7732BE"/>
  <w15:chartTrackingRefBased/>
  <w15:docId w15:val="{82AA0A65-8C96-42A8-A01E-A6B66E98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E82"/>
    <w:pPr>
      <w:spacing w:line="360" w:lineRule="auto"/>
      <w:jc w:val="both"/>
    </w:pPr>
    <w:rPr>
      <w:rFonts w:ascii="Calibri Light" w:hAnsi="Calibri Light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4F69BA"/>
    <w:pPr>
      <w:keepNext/>
      <w:keepLines/>
      <w:spacing w:after="0"/>
      <w:jc w:val="center"/>
      <w:outlineLvl w:val="0"/>
    </w:pPr>
    <w:rPr>
      <w:rFonts w:ascii="Cinzel Decorative Bold" w:eastAsiaTheme="majorEastAsia" w:hAnsi="Cinzel Decorative Bold" w:cstheme="majorBidi"/>
      <w:b/>
      <w:color w:val="921827"/>
      <w:sz w:val="72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F69BA"/>
    <w:pPr>
      <w:keepNext/>
      <w:keepLines/>
      <w:spacing w:after="0"/>
      <w:outlineLvl w:val="1"/>
    </w:pPr>
    <w:rPr>
      <w:rFonts w:ascii="Cinzel Decorative Bold" w:eastAsiaTheme="majorEastAsia" w:hAnsi="Cinzel Decorative Bold" w:cs="Calibri Light"/>
      <w:color w:val="FFFFFF" w:themeColor="background1"/>
      <w:sz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F69BA"/>
    <w:pPr>
      <w:keepNext/>
      <w:keepLines/>
      <w:spacing w:before="160" w:after="80"/>
      <w:jc w:val="left"/>
      <w:outlineLvl w:val="2"/>
    </w:pPr>
    <w:rPr>
      <w:rFonts w:ascii="Cinzel Decorative Bold" w:eastAsiaTheme="majorEastAsia" w:hAnsi="Cinzel Decorative Bold" w:cstheme="majorBidi"/>
      <w:b/>
      <w:color w:val="921827"/>
      <w:sz w:val="32"/>
      <w:szCs w:val="28"/>
    </w:rPr>
  </w:style>
  <w:style w:type="paragraph" w:styleId="Ttulo4">
    <w:name w:val="heading 4"/>
    <w:basedOn w:val="Normal"/>
    <w:next w:val="Normal"/>
    <w:link w:val="Ttulo4Char"/>
    <w:autoRedefine/>
    <w:uiPriority w:val="9"/>
    <w:unhideWhenUsed/>
    <w:qFormat/>
    <w:rsid w:val="00295876"/>
    <w:pPr>
      <w:keepNext/>
      <w:keepLines/>
      <w:spacing w:before="80" w:after="40"/>
      <w:outlineLvl w:val="3"/>
    </w:pPr>
    <w:rPr>
      <w:rFonts w:ascii="Cinzel Decorative Bold" w:eastAsiaTheme="majorEastAsia" w:hAnsi="Cinzel Decorative Bold" w:cstheme="majorBidi"/>
      <w:b/>
      <w:iCs/>
      <w:color w:val="D7A437"/>
      <w:sz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4F69BA"/>
    <w:pPr>
      <w:keepNext/>
      <w:keepLines/>
      <w:spacing w:before="80" w:after="40"/>
      <w:outlineLvl w:val="4"/>
    </w:pPr>
    <w:rPr>
      <w:rFonts w:ascii="Cinzel Decorative Bold" w:eastAsiaTheme="majorEastAsia" w:hAnsi="Cinzel Decorative Bold" w:cstheme="majorBidi"/>
      <w:b/>
      <w:color w:val="D7A437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58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58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58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58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rsid w:val="00F605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055D"/>
    <w:rPr>
      <w:rFonts w:asciiTheme="majorHAnsi" w:eastAsiaTheme="majorEastAsia" w:hAnsiTheme="majorHAnsi" w:cstheme="majorBidi"/>
      <w:b w:val="0"/>
      <w:i w:val="0"/>
      <w:color w:val="000000" w:themeColor="text1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4F69BA"/>
    <w:rPr>
      <w:rFonts w:ascii="Cinzel Decorative Bold" w:eastAsiaTheme="majorEastAsia" w:hAnsi="Cinzel Decorative Bold" w:cstheme="majorBidi"/>
      <w:b/>
      <w:i w:val="0"/>
      <w:color w:val="921827"/>
      <w:sz w:val="72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F69BA"/>
    <w:rPr>
      <w:rFonts w:ascii="Cinzel Decorative Bold" w:eastAsiaTheme="majorEastAsia" w:hAnsi="Cinzel Decorative Bold" w:cs="Calibri Light"/>
      <w:b w:val="0"/>
      <w:i w:val="0"/>
      <w:color w:val="FFFFFF" w:themeColor="background1"/>
      <w:sz w:val="36"/>
    </w:rPr>
  </w:style>
  <w:style w:type="character" w:customStyle="1" w:styleId="Ttulo3Char">
    <w:name w:val="Título 3 Char"/>
    <w:basedOn w:val="Fontepargpadro"/>
    <w:link w:val="Ttulo3"/>
    <w:uiPriority w:val="9"/>
    <w:rsid w:val="004F69BA"/>
    <w:rPr>
      <w:rFonts w:ascii="Cinzel Decorative Bold" w:eastAsiaTheme="majorEastAsia" w:hAnsi="Cinzel Decorative Bold" w:cstheme="majorBidi"/>
      <w:b/>
      <w:i w:val="0"/>
      <w:color w:val="921827"/>
      <w:sz w:val="32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95876"/>
    <w:rPr>
      <w:rFonts w:ascii="Cinzel Decorative Bold" w:eastAsiaTheme="majorEastAsia" w:hAnsi="Cinzel Decorative Bold" w:cstheme="majorBidi"/>
      <w:b/>
      <w:iCs/>
      <w:color w:val="D7A437"/>
      <w:sz w:val="28"/>
    </w:rPr>
  </w:style>
  <w:style w:type="character" w:customStyle="1" w:styleId="Ttulo5Char">
    <w:name w:val="Título 5 Char"/>
    <w:basedOn w:val="Fontepargpadro"/>
    <w:link w:val="Ttulo5"/>
    <w:uiPriority w:val="9"/>
    <w:rsid w:val="004F69BA"/>
    <w:rPr>
      <w:rFonts w:ascii="Cinzel Decorative Bold" w:eastAsiaTheme="majorEastAsia" w:hAnsi="Cinzel Decorative Bold" w:cstheme="majorBidi"/>
      <w:b/>
      <w:i w:val="0"/>
      <w:color w:val="D7A437"/>
      <w:sz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5855"/>
    <w:rPr>
      <w:rFonts w:asciiTheme="minorHAnsi" w:eastAsiaTheme="majorEastAsia" w:hAnsiTheme="minorHAnsi" w:cstheme="majorBidi"/>
      <w:b w:val="0"/>
      <w:i/>
      <w:iCs/>
      <w:color w:val="595959" w:themeColor="text1" w:themeTint="A6"/>
      <w:sz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5855"/>
    <w:rPr>
      <w:rFonts w:asciiTheme="minorHAnsi" w:eastAsiaTheme="majorEastAsia" w:hAnsiTheme="minorHAnsi" w:cstheme="majorBidi"/>
      <w:b w:val="0"/>
      <w:i w:val="0"/>
      <w:color w:val="595959" w:themeColor="text1" w:themeTint="A6"/>
      <w:sz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5855"/>
    <w:rPr>
      <w:rFonts w:asciiTheme="minorHAnsi" w:eastAsiaTheme="majorEastAsia" w:hAnsiTheme="minorHAnsi" w:cstheme="majorBidi"/>
      <w:b w:val="0"/>
      <w:i/>
      <w:iCs/>
      <w:color w:val="272727" w:themeColor="text1" w:themeTint="D8"/>
      <w:sz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5855"/>
    <w:rPr>
      <w:rFonts w:asciiTheme="minorHAnsi" w:eastAsiaTheme="majorEastAsia" w:hAnsiTheme="minorHAnsi" w:cstheme="majorBidi"/>
      <w:b w:val="0"/>
      <w:i w:val="0"/>
      <w:color w:val="272727" w:themeColor="text1" w:themeTint="D8"/>
      <w:sz w:val="22"/>
    </w:rPr>
  </w:style>
  <w:style w:type="paragraph" w:styleId="Citao">
    <w:name w:val="Quote"/>
    <w:basedOn w:val="Normal"/>
    <w:next w:val="Normal"/>
    <w:link w:val="CitaoChar"/>
    <w:uiPriority w:val="29"/>
    <w:qFormat/>
    <w:rsid w:val="00305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5855"/>
    <w:rPr>
      <w:rFonts w:ascii="Calibri Light" w:hAnsi="Calibri Light"/>
      <w:b w:val="0"/>
      <w:i/>
      <w:iCs/>
      <w:color w:val="404040" w:themeColor="text1" w:themeTint="BF"/>
      <w:sz w:val="22"/>
    </w:rPr>
  </w:style>
  <w:style w:type="paragraph" w:styleId="PargrafodaLista">
    <w:name w:val="List Paragraph"/>
    <w:basedOn w:val="Normal"/>
    <w:uiPriority w:val="34"/>
    <w:qFormat/>
    <w:rsid w:val="003058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5855"/>
    <w:rPr>
      <w:rFonts w:ascii="Calibri Light" w:hAnsi="Calibri Light"/>
      <w:b w:val="0"/>
      <w:i/>
      <w:iCs/>
      <w:color w:val="0F4761" w:themeColor="accent1" w:themeShade="BF"/>
      <w:sz w:val="2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5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5855"/>
    <w:rPr>
      <w:rFonts w:ascii="Calibri Light" w:hAnsi="Calibri Light"/>
      <w:b w:val="0"/>
      <w:i/>
      <w:iCs/>
      <w:color w:val="0F4761" w:themeColor="accent1" w:themeShade="BF"/>
      <w:sz w:val="22"/>
    </w:rPr>
  </w:style>
  <w:style w:type="character" w:styleId="RefernciaIntensa">
    <w:name w:val="Intense Reference"/>
    <w:basedOn w:val="Fontepargpadro"/>
    <w:uiPriority w:val="32"/>
    <w:qFormat/>
    <w:rsid w:val="00305855"/>
    <w:rPr>
      <w:rFonts w:ascii="Calibri Light" w:hAnsi="Calibri Light"/>
      <w:b/>
      <w:bCs/>
      <w:i w:val="0"/>
      <w:smallCaps/>
      <w:color w:val="0F4761" w:themeColor="accent1" w:themeShade="BF"/>
      <w:spacing w:val="5"/>
      <w:sz w:val="22"/>
    </w:rPr>
  </w:style>
  <w:style w:type="paragraph" w:styleId="Cabealho">
    <w:name w:val="header"/>
    <w:basedOn w:val="Normal"/>
    <w:link w:val="CabealhoChar"/>
    <w:uiPriority w:val="99"/>
    <w:unhideWhenUsed/>
    <w:rsid w:val="003058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5855"/>
    <w:rPr>
      <w:rFonts w:ascii="Calibri Light" w:hAnsi="Calibri Light"/>
      <w:b w:val="0"/>
      <w:i w:val="0"/>
      <w:color w:val="000000" w:themeColor="text1"/>
      <w:sz w:val="22"/>
    </w:rPr>
  </w:style>
  <w:style w:type="paragraph" w:styleId="Rodap">
    <w:name w:val="footer"/>
    <w:basedOn w:val="Normal"/>
    <w:link w:val="RodapChar"/>
    <w:uiPriority w:val="99"/>
    <w:unhideWhenUsed/>
    <w:rsid w:val="003058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5855"/>
    <w:rPr>
      <w:rFonts w:ascii="Calibri Light" w:hAnsi="Calibri Light"/>
      <w:b w:val="0"/>
      <w:i w:val="0"/>
      <w:color w:val="000000" w:themeColor="text1"/>
      <w:sz w:val="22"/>
    </w:rPr>
  </w:style>
  <w:style w:type="character" w:styleId="Hyperlink">
    <w:name w:val="Hyperlink"/>
    <w:basedOn w:val="Fontepargpadro"/>
    <w:uiPriority w:val="99"/>
    <w:unhideWhenUsed/>
    <w:rsid w:val="008523D9"/>
    <w:rPr>
      <w:rFonts w:ascii="Calibri Light" w:hAnsi="Calibri Light"/>
      <w:b w:val="0"/>
      <w:i w:val="0"/>
      <w:color w:val="467886" w:themeColor="hyperlink"/>
      <w:sz w:val="22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523D9"/>
    <w:rPr>
      <w:rFonts w:ascii="Calibri Light" w:hAnsi="Calibri Light"/>
      <w:b w:val="0"/>
      <w:i w:val="0"/>
      <w:color w:val="605E5C"/>
      <w:sz w:val="22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6B689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692A41"/>
    <w:pPr>
      <w:spacing w:before="100" w:beforeAutospacing="1" w:after="100" w:afterAutospacing="1" w:line="240" w:lineRule="auto"/>
      <w:jc w:val="left"/>
    </w:pPr>
    <w:rPr>
      <w:rFonts w:eastAsia="Times New Roman"/>
      <w:kern w:val="0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92A41"/>
    <w:rPr>
      <w:rFonts w:ascii="Calibri Light" w:hAnsi="Calibri Light"/>
      <w:b/>
      <w:bCs/>
      <w:i w:val="0"/>
      <w:color w:val="000000" w:themeColor="text1"/>
      <w:sz w:val="22"/>
    </w:rPr>
  </w:style>
  <w:style w:type="table" w:styleId="TabeladeGrade3-nfase2">
    <w:name w:val="Grid Table 3 Accent 2"/>
    <w:basedOn w:val="Tabelanormal"/>
    <w:uiPriority w:val="48"/>
    <w:rsid w:val="001B263C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ade4-nfase2">
    <w:name w:val="Grid Table 4 Accent 2"/>
    <w:basedOn w:val="Tabelanormal"/>
    <w:uiPriority w:val="49"/>
    <w:rsid w:val="001B263C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CabealhodoSumrio">
    <w:name w:val="TOC Heading"/>
    <w:basedOn w:val="Ttulo1"/>
    <w:next w:val="Normal"/>
    <w:uiPriority w:val="39"/>
    <w:unhideWhenUsed/>
    <w:rsid w:val="004845A3"/>
    <w:pPr>
      <w:spacing w:before="480" w:line="276" w:lineRule="auto"/>
      <w:jc w:val="left"/>
      <w:outlineLvl w:val="9"/>
    </w:pPr>
    <w:rPr>
      <w:rFonts w:asciiTheme="majorHAnsi" w:hAnsiTheme="majorHAnsi"/>
      <w:bCs/>
      <w:color w:val="0F4761" w:themeColor="accent1" w:themeShade="BF"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4845A3"/>
    <w:pPr>
      <w:spacing w:before="360" w:after="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4845A3"/>
    <w:pPr>
      <w:spacing w:before="240" w:after="0"/>
      <w:jc w:val="left"/>
    </w:pPr>
    <w:rPr>
      <w:rFonts w:asciiTheme="minorHAnsi" w:hAnsiTheme="minorHAns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4845A3"/>
    <w:pPr>
      <w:spacing w:after="0"/>
      <w:ind w:left="220"/>
      <w:jc w:val="left"/>
    </w:pPr>
    <w:rPr>
      <w:rFonts w:asciiTheme="minorHAnsi" w:hAnsiTheme="minorHAns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4845A3"/>
    <w:pPr>
      <w:spacing w:after="0"/>
      <w:ind w:left="440"/>
      <w:jc w:val="left"/>
    </w:pPr>
    <w:rPr>
      <w:rFonts w:asciiTheme="minorHAnsi" w:hAnsi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4845A3"/>
    <w:pPr>
      <w:spacing w:after="0"/>
      <w:ind w:left="660"/>
      <w:jc w:val="left"/>
    </w:pPr>
    <w:rPr>
      <w:rFonts w:asciiTheme="minorHAnsi" w:hAnsi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4845A3"/>
    <w:pPr>
      <w:spacing w:after="0"/>
      <w:ind w:left="880"/>
      <w:jc w:val="left"/>
    </w:pPr>
    <w:rPr>
      <w:rFonts w:asciiTheme="minorHAnsi" w:hAnsi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4845A3"/>
    <w:pPr>
      <w:spacing w:after="0"/>
      <w:ind w:left="1100"/>
      <w:jc w:val="left"/>
    </w:pPr>
    <w:rPr>
      <w:rFonts w:asciiTheme="minorHAnsi" w:hAnsi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4845A3"/>
    <w:pPr>
      <w:spacing w:after="0"/>
      <w:ind w:left="1320"/>
      <w:jc w:val="left"/>
    </w:pPr>
    <w:rPr>
      <w:rFonts w:asciiTheme="minorHAnsi" w:hAnsi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4845A3"/>
    <w:pPr>
      <w:spacing w:after="0"/>
      <w:ind w:left="1540"/>
      <w:jc w:val="left"/>
    </w:pPr>
    <w:rPr>
      <w:rFonts w:asciiTheme="minorHAnsi" w:hAnsiTheme="minorHAnsi"/>
      <w:sz w:val="20"/>
      <w:szCs w:val="20"/>
    </w:rPr>
  </w:style>
  <w:style w:type="table" w:styleId="TabeladeGrade5Escura-nfase2">
    <w:name w:val="Grid Table 5 Dark Accent 2"/>
    <w:basedOn w:val="Tabelanormal"/>
    <w:uiPriority w:val="50"/>
    <w:rsid w:val="0078495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character" w:styleId="nfase">
    <w:name w:val="Emphasis"/>
    <w:basedOn w:val="Fontepargpadro"/>
    <w:uiPriority w:val="20"/>
    <w:rsid w:val="001B5C0B"/>
    <w:rPr>
      <w:rFonts w:ascii="Calibri Light" w:hAnsi="Calibri Light"/>
      <w:b w:val="0"/>
      <w:i/>
      <w:iCs/>
      <w:color w:val="000000" w:themeColor="text1"/>
      <w:sz w:val="22"/>
    </w:rPr>
  </w:style>
  <w:style w:type="table" w:styleId="TabeladeGradeClara">
    <w:name w:val="Grid Table Light"/>
    <w:basedOn w:val="Tabelanormal"/>
    <w:uiPriority w:val="40"/>
    <w:rsid w:val="001B5C0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1B5C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3">
    <w:name w:val="Plain Table 3"/>
    <w:basedOn w:val="Tabelanormal"/>
    <w:uiPriority w:val="43"/>
    <w:rsid w:val="0002491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02491C"/>
    <w:rPr>
      <w:rFonts w:ascii="Calibri Light" w:hAnsi="Calibri Light"/>
      <w:b w:val="0"/>
      <w:i w:val="0"/>
      <w:color w:val="000000" w:themeColor="text1"/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2491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2491C"/>
    <w:rPr>
      <w:rFonts w:ascii="Calibri Light" w:hAnsi="Calibri Light"/>
      <w:b w:val="0"/>
      <w:i w:val="0"/>
      <w:color w:val="000000" w:themeColor="text1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2491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2491C"/>
    <w:rPr>
      <w:rFonts w:ascii="Calibri Light" w:hAnsi="Calibri Light"/>
      <w:b/>
      <w:bCs/>
      <w:i w:val="0"/>
      <w:color w:val="000000" w:themeColor="text1"/>
      <w:sz w:val="20"/>
      <w:szCs w:val="20"/>
    </w:rPr>
  </w:style>
  <w:style w:type="table" w:styleId="SimplesTabela2">
    <w:name w:val="Plain Table 2"/>
    <w:basedOn w:val="Tabelanormal"/>
    <w:uiPriority w:val="42"/>
    <w:rsid w:val="0002491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Nmerodepgina">
    <w:name w:val="page number"/>
    <w:basedOn w:val="Fontepargpadro"/>
    <w:uiPriority w:val="99"/>
    <w:semiHidden/>
    <w:unhideWhenUsed/>
    <w:rsid w:val="009B1637"/>
  </w:style>
  <w:style w:type="paragraph" w:styleId="SemEspaamento">
    <w:name w:val="No Spacing"/>
    <w:uiPriority w:val="1"/>
    <w:qFormat/>
    <w:rsid w:val="00F26E57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lang w:val="en-US" w:eastAsia="zh-CN"/>
      <w14:ligatures w14:val="none"/>
    </w:rPr>
  </w:style>
  <w:style w:type="paragraph" w:customStyle="1" w:styleId="Sumrio11">
    <w:name w:val="Sumário 11"/>
    <w:basedOn w:val="Normal"/>
    <w:pPr>
      <w:tabs>
        <w:tab w:val="right" w:leader="dot" w:pos="9900"/>
      </w:tabs>
      <w:spacing w:before="200" w:after="40" w:line="276" w:lineRule="auto"/>
    </w:pPr>
    <w:rPr>
      <w:b/>
      <w:color w:val="921827"/>
      <w:sz w:val="24"/>
    </w:rPr>
  </w:style>
  <w:style w:type="paragraph" w:customStyle="1" w:styleId="Sumrio31">
    <w:name w:val="Sumário 31"/>
    <w:basedOn w:val="Normal"/>
    <w:pPr>
      <w:tabs>
        <w:tab w:val="right" w:leader="dot" w:pos="9900"/>
      </w:tabs>
      <w:spacing w:after="40" w:line="276" w:lineRule="auto"/>
      <w:ind w:left="340"/>
    </w:pPr>
    <w:rPr>
      <w:color w:val="2626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2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4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76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8879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5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0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0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43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36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7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0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9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0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9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60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2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0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9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7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3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6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7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8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38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49" Type="http://schemas.openxmlformats.org/officeDocument/2006/relationships/image" Target="media/image34.png"/><Relationship Id="rId50" Type="http://schemas.openxmlformats.org/officeDocument/2006/relationships/image" Target="media/image3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FIL</b:Tag>
    <b:SourceType>Book</b:SourceType>
    <b:Guid>{1C3D22BD-DEA7-4D46-8FC1-8365622CC160}</b:Guid>
    <b:Author>
      <b:Author>
        <b:NameList>
          <b:Person>
            <b:Last>FILHO</b:Last>
            <b:First>Geraldo</b:First>
            <b:Middle>B. Bogliolo - Patologia. 10. ed. Rio de Janeiro: Guanabara Koogan, 2021. E-book. p.192. ISBN 9788527738378.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8443735-E837-944C-8ADB-82BAE8474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17193</Words>
  <Characters>92848</Characters>
  <Application>Microsoft Office Word</Application>
  <DocSecurity>0</DocSecurity>
  <Lines>773</Lines>
  <Paragraphs>219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109822</CharactersWithSpaces>
  <SharedDoc>false</SharedDoc>
  <HLinks>
    <vt:vector size="42" baseType="variant">
      <vt:variant>
        <vt:i4>6422642</vt:i4>
      </vt:variant>
      <vt:variant>
        <vt:i4>21</vt:i4>
      </vt:variant>
      <vt:variant>
        <vt:i4>0</vt:i4>
      </vt:variant>
      <vt:variant>
        <vt:i4>5</vt:i4>
      </vt:variant>
      <vt:variant>
        <vt:lpwstr>https://histologyguide.com/</vt:lpwstr>
      </vt:variant>
      <vt:variant>
        <vt:lpwstr/>
      </vt:variant>
      <vt:variant>
        <vt:i4>90</vt:i4>
      </vt:variant>
      <vt:variant>
        <vt:i4>18</vt:i4>
      </vt:variant>
      <vt:variant>
        <vt:i4>0</vt:i4>
      </vt:variant>
      <vt:variant>
        <vt:i4>5</vt:i4>
      </vt:variant>
      <vt:variant>
        <vt:lpwstr>https://integrada.minhabiblioteca.com.br/</vt:lpwstr>
      </vt:variant>
      <vt:variant>
        <vt:lpwstr>/books/9788527728867/</vt:lpwstr>
      </vt:variant>
      <vt:variant>
        <vt:i4>524382</vt:i4>
      </vt:variant>
      <vt:variant>
        <vt:i4>15</vt:i4>
      </vt:variant>
      <vt:variant>
        <vt:i4>0</vt:i4>
      </vt:variant>
      <vt:variant>
        <vt:i4>5</vt:i4>
      </vt:variant>
      <vt:variant>
        <vt:lpwstr>https://integrada.minhabiblioteca.com.br/</vt:lpwstr>
      </vt:variant>
      <vt:variant>
        <vt:lpwstr>/books/9788582714041/</vt:lpwstr>
      </vt:variant>
      <vt:variant>
        <vt:i4>80</vt:i4>
      </vt:variant>
      <vt:variant>
        <vt:i4>12</vt:i4>
      </vt:variant>
      <vt:variant>
        <vt:i4>0</vt:i4>
      </vt:variant>
      <vt:variant>
        <vt:i4>5</vt:i4>
      </vt:variant>
      <vt:variant>
        <vt:lpwstr>https://integrada.minhabiblioteca.com.br/</vt:lpwstr>
      </vt:variant>
      <vt:variant>
        <vt:lpwstr>/books/9788527734608/</vt:lpwstr>
      </vt:variant>
      <vt:variant>
        <vt:i4>983125</vt:i4>
      </vt:variant>
      <vt:variant>
        <vt:i4>9</vt:i4>
      </vt:variant>
      <vt:variant>
        <vt:i4>0</vt:i4>
      </vt:variant>
      <vt:variant>
        <vt:i4>5</vt:i4>
      </vt:variant>
      <vt:variant>
        <vt:lpwstr>https://integrada.minhabiblioteca.com.br/</vt:lpwstr>
      </vt:variant>
      <vt:variant>
        <vt:lpwstr>/books/9788527739283/</vt:lpwstr>
      </vt:variant>
      <vt:variant>
        <vt:i4>327771</vt:i4>
      </vt:variant>
      <vt:variant>
        <vt:i4>6</vt:i4>
      </vt:variant>
      <vt:variant>
        <vt:i4>0</vt:i4>
      </vt:variant>
      <vt:variant>
        <vt:i4>5</vt:i4>
      </vt:variant>
      <vt:variant>
        <vt:lpwstr>https://integrada.minhabiblioteca.com.br/</vt:lpwstr>
      </vt:variant>
      <vt:variant>
        <vt:lpwstr>/books/9788527738378/</vt:lpwstr>
      </vt:variant>
      <vt:variant>
        <vt:i4>458835</vt:i4>
      </vt:variant>
      <vt:variant>
        <vt:i4>3</vt:i4>
      </vt:variant>
      <vt:variant>
        <vt:i4>0</vt:i4>
      </vt:variant>
      <vt:variant>
        <vt:i4>5</vt:i4>
      </vt:variant>
      <vt:variant>
        <vt:lpwstr>https://integrada.minhabiblioteca.com.br/</vt:lpwstr>
      </vt:variant>
      <vt:variant>
        <vt:lpwstr>/books/9788595158924/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Diabetes Mellitus – MedSum</dc:title>
  <dc:subject/>
  <dc:creator>Laura Nunes</dc:creator>
  <cp:keywords/>
  <dc:description/>
  <cp:lastModifiedBy>Laura Emili Silva Nunes</cp:lastModifiedBy>
  <cp:revision>2</cp:revision>
  <cp:lastPrinted>2026-09-22T21:08:00Z</cp:lastPrinted>
  <dcterms:created xsi:type="dcterms:W3CDTF">2026-10-20T23:24:00Z</dcterms:created>
  <dcterms:modified xsi:type="dcterms:W3CDTF">2026-10-20T23:24:00Z</dcterms:modified>
</cp:coreProperties>
</file>