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1915E" w14:textId="77777777" w:rsidR="002E369D" w:rsidRDefault="00A87142">
      <w:pPr>
        <w:spacing w:before="600" w:after="200" w:line="240" w:lineRule="auto"/>
        <w:jc w:val="center"/>
      </w:pPr>
      <w:r>
        <w:rPr>
          <w:noProof/>
        </w:rPr>
        <w:drawing>
          <wp:inline distT="0" distB="0" distL="0" distR="0" wp14:anchorId="1BB2974A" wp14:editId="2D62A390">
            <wp:extent cx="1512000" cy="10276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2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92DF" w14:textId="77777777" w:rsidR="002E369D" w:rsidRDefault="00A87142">
      <w:pPr>
        <w:spacing w:after="700" w:line="240" w:lineRule="auto"/>
        <w:jc w:val="center"/>
      </w:pPr>
      <w:r>
        <w:rPr>
          <w:i/>
          <w:color w:val="595959"/>
          <w:sz w:val="20"/>
        </w:rPr>
        <w:t>By Laura Nunes</w:t>
      </w:r>
    </w:p>
    <w:tbl>
      <w:tblPr>
        <w:tblW w:w="9900" w:type="dxa"/>
        <w:jc w:val="center"/>
        <w:tblLayout w:type="fixed"/>
        <w:tblLook w:val="04A0" w:firstRow="1" w:lastRow="0" w:firstColumn="1" w:lastColumn="0" w:noHBand="0" w:noVBand="1"/>
      </w:tblPr>
      <w:tblGrid>
        <w:gridCol w:w="9900"/>
      </w:tblGrid>
      <w:tr w:rsidR="002E369D" w14:paraId="2A5EB170" w14:textId="77777777">
        <w:trPr>
          <w:jc w:val="center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1E79590B" w14:textId="77777777" w:rsidR="002E369D" w:rsidRDefault="00A87142">
            <w:pPr>
              <w:spacing w:after="120"/>
              <w:jc w:val="center"/>
            </w:pPr>
            <w:r>
              <w:rPr>
                <w:rFonts w:ascii="Cinzel Decorative Bold" w:hAnsi="Cinzel Decorative Bold"/>
                <w:color w:val="FFFFFF"/>
                <w:sz w:val="60"/>
              </w:rPr>
              <w:t>Linfomas e Leucemias Agudas</w:t>
            </w:r>
          </w:p>
          <w:p w14:paraId="3059C148" w14:textId="77777777" w:rsidR="002E369D" w:rsidRPr="00217E82" w:rsidRDefault="00A87142">
            <w:pPr>
              <w:spacing w:after="80"/>
              <w:jc w:val="center"/>
              <w:rPr>
                <w:b/>
                <w:bCs/>
              </w:rPr>
            </w:pPr>
            <w:r w:rsidRPr="00217E82">
              <w:rPr>
                <w:b/>
                <w:bCs/>
                <w:color w:val="FFFFFF"/>
                <w:sz w:val="28"/>
              </w:rPr>
              <w:t>Leucemia linfoblástica e mieloide aguda, emergências oncológicas, linfoma de Hodgkin e não Hodgkin</w:t>
            </w:r>
          </w:p>
          <w:p w14:paraId="7E58A92A" w14:textId="77777777" w:rsidR="002E369D" w:rsidRDefault="00A87142">
            <w:pPr>
              <w:jc w:val="center"/>
            </w:pPr>
            <w:r w:rsidRPr="00217E82">
              <w:rPr>
                <w:b/>
                <w:bCs/>
                <w:i/>
                <w:color w:val="F3D9DD"/>
                <w:sz w:val="16"/>
              </w:rPr>
              <w:t>6º semestre · D2 · NCS · SP 2.4 · OMS 2022, ICC 2022, ELN 2022, Lugano, INCA e Harrison</w:t>
            </w:r>
          </w:p>
        </w:tc>
      </w:tr>
    </w:tbl>
    <w:p w14:paraId="0DC9CEDC" w14:textId="77777777" w:rsidR="002E369D" w:rsidRDefault="002E369D">
      <w:pPr>
        <w:spacing w:after="400" w:line="240" w:lineRule="auto"/>
        <w:jc w:val="center"/>
      </w:pPr>
    </w:p>
    <w:tbl>
      <w:tblPr>
        <w:tblW w:w="9900" w:type="dxa"/>
        <w:jc w:val="center"/>
        <w:tblLayout w:type="fixed"/>
        <w:tblLook w:val="04A0" w:firstRow="1" w:lastRow="0" w:firstColumn="1" w:lastColumn="0" w:noHBand="0" w:noVBand="1"/>
      </w:tblPr>
      <w:tblGrid>
        <w:gridCol w:w="4950"/>
        <w:gridCol w:w="4950"/>
      </w:tblGrid>
      <w:tr w:rsidR="002E369D" w14:paraId="33CDE5C7" w14:textId="77777777">
        <w:trPr>
          <w:jc w:val="center"/>
        </w:trPr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211981B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1</w:t>
            </w:r>
          </w:p>
          <w:p w14:paraId="4804F08A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Fundamentos das Neoplasias Hematológicas</w:t>
            </w:r>
          </w:p>
        </w:tc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08CC8D6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2</w:t>
            </w:r>
          </w:p>
          <w:p w14:paraId="34016008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Leucemias Agudas</w:t>
            </w:r>
          </w:p>
        </w:tc>
      </w:tr>
      <w:tr w:rsidR="002E369D" w14:paraId="591C6F9D" w14:textId="77777777">
        <w:trPr>
          <w:jc w:val="center"/>
        </w:trPr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CF4E495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3</w:t>
            </w:r>
          </w:p>
          <w:p w14:paraId="59F23627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Emergências Onco-hematológicas</w:t>
            </w:r>
          </w:p>
        </w:tc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FFF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C146EBA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4</w:t>
            </w:r>
          </w:p>
          <w:p w14:paraId="76E8B95F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Linfadenopatia e Linfoma de Hodgkin</w:t>
            </w:r>
          </w:p>
        </w:tc>
      </w:tr>
      <w:tr w:rsidR="002E369D" w14:paraId="1D07256A" w14:textId="77777777">
        <w:trPr>
          <w:jc w:val="center"/>
        </w:trPr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2F2CED9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>Capítulo 5</w:t>
            </w:r>
          </w:p>
          <w:p w14:paraId="27F63B7E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>Linfomas Não Hodgkin</w:t>
            </w:r>
          </w:p>
        </w:tc>
        <w:tc>
          <w:tcPr>
            <w:tcW w:w="495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C551064" w14:textId="77777777" w:rsidR="002E369D" w:rsidRDefault="00A87142">
            <w:pPr>
              <w:spacing w:after="20"/>
            </w:pPr>
            <w:r>
              <w:rPr>
                <w:b/>
                <w:caps/>
                <w:color w:val="D7A437"/>
                <w:sz w:val="18"/>
              </w:rPr>
              <w:t/>
            </w:r>
          </w:p>
          <w:p w14:paraId="566287F8" w14:textId="77777777" w:rsidR="002E369D" w:rsidRDefault="00A87142">
            <w:pPr>
              <w:spacing w:after="0"/>
              <w:jc w:val="left"/>
            </w:pPr>
            <w:r>
              <w:rPr>
                <w:b/>
                <w:color w:val="921827"/>
                <w:sz w:val="22"/>
              </w:rPr>
              <w:t/>
            </w:r>
          </w:p>
        </w:tc>
      </w:tr>
    </w:tbl>
    <w:p w14:paraId="36811413" w14:textId="77777777" w:rsidR="002E369D" w:rsidRDefault="00A87142">
      <w:pPr>
        <w:spacing w:before="700" w:after="0" w:line="240" w:lineRule="auto"/>
        <w:jc w:val="center"/>
      </w:pPr>
      <w:r>
        <w:rPr>
          <w:rFonts w:ascii="Cinzel Decorative Bold" w:hAnsi="Cinzel Decorative Bold"/>
          <w:b/>
          <w:color w:val="921827"/>
        </w:rPr>
        <w:t>MedSum</w:t>
      </w:r>
    </w:p>
    <w:p w14:paraId="10EBF625" w14:textId="77777777" w:rsidR="002E369D" w:rsidRDefault="00A87142">
      <w:pPr>
        <w:spacing w:before="40" w:after="0" w:line="240" w:lineRule="auto"/>
        <w:jc w:val="center"/>
      </w:pPr>
      <w:r>
        <w:rPr>
          <w:color w:val="595959"/>
          <w:sz w:val="19"/>
        </w:rPr>
        <w:t xml:space="preserve">Medicina · 2026.2</w:t>
      </w:r>
      <w:r>
        <w:br w:type="page"/>
      </w:r>
    </w:p>
    <w:p w14:paraId="474EA9BB" w14:textId="77777777" w:rsidR="002E369D" w:rsidRDefault="00A87142">
      <w:pPr>
        <w:spacing w:after="200" w:line="240" w:lineRule="auto"/>
        <w:jc w:val="left"/>
      </w:pPr>
      <w:r>
        <w:rPr>
          <w:rFonts w:ascii="Cinzel Decorative Bold" w:hAnsi="Cinzel Decorative Bold"/>
          <w:b/>
          <w:color w:val="921827"/>
          <w:sz w:val="44"/>
        </w:rPr>
        <w:lastRenderedPageBreak/>
        <w:t>Sumário</w:t>
      </w:r>
    </w:p>
    <w:p w14:paraId="297090E1" w14:textId="77777777" w:rsidR="00045C66" w:rsidRDefault="00045C66">
      <w:pPr>
        <w:pStyle w:val="Sumrio3"/>
        <w:tabs>
          <w:tab w:val="right" w:leader="dot" w:pos="9968"/>
        </w:tabs>
        <w:rPr>
          <w:rFonts w:asciiTheme="majorHAnsi" w:hAnsiTheme="majorHAnsi"/>
          <w:b/>
          <w:bCs/>
          <w:caps/>
          <w:sz w:val="24"/>
          <w:szCs w:val="24"/>
        </w:rPr>
        <w:sectPr w:rsidR="00045C66" w:rsidSect="00422A1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964" w:right="964" w:bottom="964" w:left="964" w:header="794" w:footer="227" w:gutter="0"/>
          <w:cols w:space="340"/>
          <w:titlePg/>
          <w:docGrid w:linePitch="360"/>
        </w:sectPr>
      </w:pPr>
    </w:p>
    <w:p w14:paraId="2C802506" w14:textId="020047AA" w:rsidR="00045C66" w:rsidRDefault="00A87142">
      <w:pPr>
        <w:pStyle w:val="Sumrio3"/>
        <w:tabs>
          <w:tab w:val="right" w:leader="dot" w:pos="9968"/>
        </w:tabs>
        <w:rPr>
          <w:rFonts w:eastAsiaTheme="minorEastAsia" w:cstheme="minorBidi"/>
          <w:noProof/>
          <w:sz w:val="24"/>
          <w:szCs w:val="24"/>
          <w:lang w:eastAsia="pt-BR"/>
        </w:rPr>
      </w:pPr>
      <w:r>
        <w:rPr>
          <w:rFonts w:asciiTheme="majorHAnsi" w:hAnsiTheme="majorHAnsi"/>
          <w:b/>
          <w:bCs/>
          <w:caps/>
          <w:sz w:val="24"/>
          <w:szCs w:val="24"/>
        </w:rPr>
        <w:fldChar w:fldCharType="begin"/>
      </w:r>
      <w:r>
        <w:instrText xml:space="preserve"> TOC \o "3-4" \h \z \u </w:instrText>
      </w:r>
      <w:r>
        <w:rPr>
          <w:rFonts w:asciiTheme="majorHAnsi" w:hAnsiTheme="majorHAnsi"/>
          <w:b/>
          <w:bCs/>
          <w:caps/>
          <w:sz w:val="24"/>
          <w:szCs w:val="24"/>
        </w:rPr>
        <w:fldChar w:fldCharType="separate"/>
      </w:r>
      <w:hyperlink w:anchor="_Toc241661527" w:history="1">
        <w:r w:rsidR="00045C66" w:rsidRPr="00D150CF">
          <w:rPr>
            <w:rStyle w:val="Hyperlink"/>
            <w:noProof/>
          </w:rPr>
          <w:t>Neoplasias hematológicas</w:t>
        </w:r>
        <w:r w:rsidR="00045C66">
          <w:rPr>
            <w:noProof/>
            <w:webHidden/>
          </w:rPr>
          <w:tab/>
        </w:r>
        <w:r w:rsidR="00045C66">
          <w:rPr>
            <w:noProof/>
            <w:webHidden/>
          </w:rPr>
          <w:fldChar w:fldCharType="begin"/>
        </w:r>
        <w:r w:rsidR="00045C66">
          <w:rPr>
            <w:noProof/>
            <w:webHidden/>
          </w:rPr>
          <w:instrText xml:space="preserve"> PAGEREF _Toc241661527 \h </w:instrText>
        </w:r>
        <w:r w:rsidR="00045C66">
          <w:rPr>
            <w:noProof/>
            <w:webHidden/>
          </w:rPr>
        </w:r>
        <w:r w:rsidR="00045C66">
          <w:rPr>
            <w:noProof/>
            <w:webHidden/>
          </w:rPr>
          <w:fldChar w:fldCharType="separate"/>
        </w:r>
        <w:r w:rsidR="00045C66">
          <w:rPr>
            <w:noProof/>
            <w:webHidden/>
          </w:rPr>
          <w:t>3</w:t>
        </w:r>
        <w:r w:rsidR="00045C66">
          <w:rPr>
            <w:noProof/>
            <w:webHidden/>
          </w:rPr>
          <w:fldChar w:fldCharType="end"/>
        </w:r>
      </w:hyperlink>
    </w:p>
    <w:p>
      <w:pPr>
        <w:pStyle w:val="Sumrio4"/>
        <w:tabs>
          <w:tab w:val="right" w:leader="dot" w:pos="9968"/>
        </w:tabs>
      </w:pPr>
      <w:r>
        <w:rPr/>
        <w:t xml:space="preserve">Da célula-tronco às neoplasias</w:t>
      </w:r>
      <w:r>
        <w:tab/>
      </w:r>
      <w:r>
        <w:t>3</w:t>
      </w:r>
    </w:p>
    <w:p>
      <w:pPr>
        <w:pStyle w:val="Sumrio4"/>
        <w:tabs>
          <w:tab w:val="right" w:leader="dot" w:pos="9968"/>
        </w:tabs>
      </w:pPr>
      <w:r>
        <w:rPr/>
        <w:t xml:space="preserve">Aguda × crônica</w:t>
      </w:r>
      <w:r>
        <w:tab/>
      </w:r>
      <w:r>
        <w:t>3</w:t>
      </w:r>
    </w:p>
    <w:p>
      <w:pPr>
        <w:pStyle w:val="Sumrio4"/>
        <w:tabs>
          <w:tab w:val="right" w:leader="dot" w:pos="9968"/>
        </w:tabs>
      </w:pPr>
      <w:r>
        <w:rPr/>
        <w:t xml:space="preserve">Classificação</w:t>
      </w:r>
      <w:r>
        <w:tab/>
      </w:r>
      <w:r>
        <w:t>3</w:t>
      </w:r>
    </w:p>
    <w:p>
      <w:pPr>
        <w:pStyle w:val="Sumrio4"/>
        <w:tabs>
          <w:tab w:val="right" w:leader="dot" w:pos="9968"/>
        </w:tabs>
      </w:pPr>
      <w:r>
        <w:rPr/>
        <w:t xml:space="preserve">Epidemiologia no Brasil</w:t>
      </w:r>
      <w:r>
        <w:tab/>
      </w:r>
      <w:r>
        <w:t>4</w:t>
      </w:r>
    </w:p>
    <w:p>
      <w:pPr>
        <w:pStyle w:val="Sumrio4"/>
        <w:tabs>
          <w:tab w:val="right" w:leader="dot" w:pos="9968"/>
        </w:tabs>
      </w:pPr>
      <w:r>
        <w:rPr/>
        <w:t xml:space="preserve">Fatores de risco</w:t>
      </w:r>
      <w:r>
        <w:tab/>
      </w:r>
      <w:r>
        <w:t>4</w:t>
      </w:r>
    </w:p>
    <w:p>
      <w:pPr>
        <w:pStyle w:val="Sumrio3"/>
        <w:tabs>
          <w:tab w:val="right" w:leader="dot" w:pos="9968"/>
        </w:tabs>
      </w:pPr>
      <w:r>
        <w:rPr/>
        <w:t xml:space="preserve">Leucemias agudas: visão geral</w:t>
      </w:r>
      <w:r>
        <w:tab/>
      </w:r>
      <w:r>
        <w:t>5</w:t>
      </w:r>
    </w:p>
    <w:p>
      <w:pPr>
        <w:pStyle w:val="Sumrio4"/>
        <w:tabs>
          <w:tab w:val="right" w:leader="dot" w:pos="9968"/>
        </w:tabs>
      </w:pPr>
      <w:r>
        <w:rPr/>
        <w:t xml:space="preserve">Quadro clínico</w:t>
      </w:r>
      <w:r>
        <w:tab/>
      </w:r>
      <w:r>
        <w:t>5</w:t>
      </w:r>
    </w:p>
    <w:p>
      <w:pPr>
        <w:pStyle w:val="Sumrio4"/>
        <w:tabs>
          <w:tab w:val="right" w:leader="dot" w:pos="9968"/>
        </w:tabs>
      </w:pPr>
      <w:r>
        <w:rPr/>
        <w:t xml:space="preserve">Diagnóstico</w:t>
      </w:r>
      <w:r>
        <w:tab/>
      </w:r>
      <w:r>
        <w:t>5</w:t>
      </w:r>
    </w:p>
    <w:p>
      <w:pPr>
        <w:pStyle w:val="Sumrio3"/>
        <w:tabs>
          <w:tab w:val="right" w:leader="dot" w:pos="9968"/>
        </w:tabs>
      </w:pPr>
      <w:r>
        <w:rPr/>
        <w:t xml:space="preserve">Leucemia linfoblástica aguda (LLA)</w:t>
      </w:r>
      <w:r>
        <w:tab/>
      </w:r>
      <w:r>
        <w:t>6</w:t>
      </w:r>
    </w:p>
    <w:p>
      <w:pPr>
        <w:pStyle w:val="Sumrio4"/>
        <w:tabs>
          <w:tab w:val="right" w:leader="dot" w:pos="9968"/>
        </w:tabs>
      </w:pPr>
      <w:r>
        <w:rPr/>
        <w:t xml:space="preserve">Epidemiologia e quadro</w:t>
      </w:r>
      <w:r>
        <w:tab/>
      </w:r>
      <w:r>
        <w:t>6</w:t>
      </w:r>
    </w:p>
    <w:p>
      <w:pPr>
        <w:pStyle w:val="Sumrio4"/>
        <w:tabs>
          <w:tab w:val="right" w:leader="dot" w:pos="9968"/>
        </w:tabs>
      </w:pPr>
      <w:r>
        <w:rPr/>
        <w:t xml:space="preserve">Imunofenótipo e genética</w:t>
      </w:r>
      <w:r>
        <w:tab/>
      </w:r>
      <w:r>
        <w:t>7</w:t>
      </w:r>
    </w:p>
    <w:p>
      <w:pPr>
        <w:pStyle w:val="Sumrio4"/>
        <w:tabs>
          <w:tab w:val="right" w:leader="dot" w:pos="9968"/>
        </w:tabs>
      </w:pPr>
      <w:r>
        <w:rPr/>
        <w:t xml:space="preserve">Fatores prognósticos</w:t>
      </w:r>
      <w:r>
        <w:tab/>
      </w:r>
      <w:r>
        <w:t>7</w:t>
      </w:r>
    </w:p>
    <w:p>
      <w:pPr>
        <w:pStyle w:val="Sumrio4"/>
        <w:tabs>
          <w:tab w:val="right" w:leader="dot" w:pos="9968"/>
        </w:tabs>
      </w:pPr>
      <w:r>
        <w:rPr/>
        <w:t xml:space="preserve">Tratamento</w:t>
      </w:r>
      <w:r>
        <w:tab/>
      </w:r>
      <w:r>
        <w:t>7</w:t>
      </w:r>
    </w:p>
    <w:p>
      <w:pPr>
        <w:pStyle w:val="Sumrio3"/>
        <w:tabs>
          <w:tab w:val="right" w:leader="dot" w:pos="9968"/>
        </w:tabs>
      </w:pPr>
      <w:r>
        <w:rPr/>
        <w:t xml:space="preserve">Leucemia mieloide aguda (LMA)</w:t>
      </w:r>
      <w:r>
        <w:tab/>
      </w:r>
      <w:r>
        <w:t>8</w:t>
      </w:r>
    </w:p>
    <w:p>
      <w:pPr>
        <w:pStyle w:val="Sumrio4"/>
        <w:tabs>
          <w:tab w:val="right" w:leader="dot" w:pos="9968"/>
        </w:tabs>
      </w:pPr>
      <w:r>
        <w:rPr/>
        <w:t xml:space="preserve">Epidemiologia e quadro</w:t>
      </w:r>
      <w:r>
        <w:tab/>
      </w:r>
      <w:r>
        <w:t>8</w:t>
      </w:r>
    </w:p>
    <w:p>
      <w:pPr>
        <w:pStyle w:val="Sumrio4"/>
        <w:tabs>
          <w:tab w:val="right" w:leader="dot" w:pos="9968"/>
        </w:tabs>
      </w:pPr>
      <w:r>
        <w:rPr/>
        <w:t xml:space="preserve">Diagnóstico e risco</w:t>
      </w:r>
      <w:r>
        <w:tab/>
      </w:r>
      <w:r>
        <w:t>8</w:t>
      </w:r>
    </w:p>
    <w:p>
      <w:pPr>
        <w:pStyle w:val="Sumrio4"/>
        <w:tabs>
          <w:tab w:val="right" w:leader="dot" w:pos="9968"/>
        </w:tabs>
      </w:pPr>
      <w:r>
        <w:rPr/>
        <w:t xml:space="preserve">Tratamento</w:t>
      </w:r>
      <w:r>
        <w:tab/>
      </w:r>
      <w:r>
        <w:t>8</w:t>
      </w:r>
    </w:p>
    <w:p>
      <w:pPr>
        <w:pStyle w:val="Sumrio3"/>
        <w:tabs>
          <w:tab w:val="right" w:leader="dot" w:pos="9968"/>
        </w:tabs>
      </w:pPr>
      <w:r>
        <w:rPr/>
        <w:t xml:space="preserve">Leucemia promielocítica aguda (LPA)</w:t>
      </w:r>
      <w:r>
        <w:tab/>
      </w:r>
      <w:r>
        <w:t>9</w:t>
      </w:r>
    </w:p>
    <w:p>
      <w:pPr>
        <w:pStyle w:val="Sumrio3"/>
        <w:tabs>
          <w:tab w:val="right" w:leader="dot" w:pos="9968"/>
        </w:tabs>
      </w:pPr>
      <w:r>
        <w:rPr/>
        <w:t xml:space="preserve">Síndrome de lise tumoral (SLT)</w:t>
      </w:r>
      <w:r>
        <w:tab/>
      </w:r>
      <w:r>
        <w:t>10</w:t>
      </w:r>
    </w:p>
    <w:p>
      <w:pPr>
        <w:pStyle w:val="Sumrio3"/>
        <w:tabs>
          <w:tab w:val="right" w:leader="dot" w:pos="9968"/>
        </w:tabs>
      </w:pPr>
      <w:r>
        <w:rPr/>
        <w:t xml:space="preserve">Hiperleucocitose e leucostase</w:t>
      </w:r>
      <w:r>
        <w:tab/>
      </w:r>
      <w:r>
        <w:t>10</w:t>
      </w:r>
    </w:p>
    <w:p>
      <w:pPr>
        <w:pStyle w:val="Sumrio3"/>
        <w:tabs>
          <w:tab w:val="right" w:leader="dot" w:pos="9968"/>
        </w:tabs>
      </w:pPr>
      <w:r>
        <w:rPr/>
        <w:t xml:space="preserve">Neutropenia febril</w:t>
      </w:r>
      <w:r>
        <w:tab/>
      </w:r>
      <w:r>
        <w:t>10</w:t>
      </w:r>
    </w:p>
    <w:p>
      <w:pPr>
        <w:pStyle w:val="Sumrio3"/>
        <w:tabs>
          <w:tab w:val="right" w:leader="dot" w:pos="9968"/>
        </w:tabs>
      </w:pPr>
      <w:r>
        <w:rPr/>
        <w:t xml:space="preserve">Outras emergências</w:t>
      </w:r>
      <w:r>
        <w:tab/>
      </w:r>
      <w:r>
        <w:t>11</w:t>
      </w:r>
    </w:p>
    <w:p>
      <w:pPr>
        <w:pStyle w:val="Sumrio3"/>
        <w:tabs>
          <w:tab w:val="right" w:leader="dot" w:pos="9968"/>
        </w:tabs>
      </w:pPr>
      <w:r>
        <w:rPr/>
        <w:t xml:space="preserve">Abordagem da linfadenopatia</w:t>
      </w:r>
      <w:r>
        <w:tab/>
      </w:r>
      <w:r>
        <w:t>13</w:t>
      </w:r>
    </w:p>
    <w:p>
      <w:pPr>
        <w:pStyle w:val="Sumrio3"/>
        <w:tabs>
          <w:tab w:val="right" w:leader="dot" w:pos="9968"/>
        </w:tabs>
      </w:pPr>
      <w:r>
        <w:rPr/>
        <w:t xml:space="preserve">Linfoma de Hodgkin (LH)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Definição e epidemiologia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Classificação</w:t>
      </w:r>
      <w:r>
        <w:tab/>
      </w:r>
      <w:r>
        <w:t>14</w:t>
      </w:r>
    </w:p>
    <w:p>
      <w:pPr>
        <w:pStyle w:val="Sumrio4"/>
        <w:tabs>
          <w:tab w:val="right" w:leader="dot" w:pos="9968"/>
        </w:tabs>
      </w:pPr>
      <w:r>
        <w:rPr/>
        <w:t xml:space="preserve">Quadro clínico</w:t>
      </w:r>
      <w:r>
        <w:tab/>
      </w:r>
      <w:r>
        <w:t>15</w:t>
      </w:r>
    </w:p>
    <w:p>
      <w:pPr>
        <w:pStyle w:val="Sumrio4"/>
        <w:tabs>
          <w:tab w:val="right" w:leader="dot" w:pos="9968"/>
        </w:tabs>
      </w:pPr>
      <w:r>
        <w:rPr/>
        <w:t xml:space="preserve">Estadiamento (Lugano / Ann Arbor modificado)</w:t>
      </w:r>
      <w:r>
        <w:tab/>
      </w:r>
      <w:r>
        <w:t>15</w:t>
      </w:r>
    </w:p>
    <w:p>
      <w:pPr>
        <w:pStyle w:val="Sumrio4"/>
        <w:tabs>
          <w:tab w:val="right" w:leader="dot" w:pos="9968"/>
        </w:tabs>
      </w:pPr>
      <w:r>
        <w:rPr/>
        <w:t xml:space="preserve">Tratamento e prognóstico</w:t>
      </w:r>
      <w:r>
        <w:tab/>
      </w:r>
      <w:r>
        <w:t>15</w:t>
      </w:r>
    </w:p>
    <w:p>
      <w:pPr>
        <w:pStyle w:val="Sumrio3"/>
        <w:tabs>
          <w:tab w:val="right" w:leader="dot" w:pos="9968"/>
        </w:tabs>
      </w:pPr>
      <w:r>
        <w:rPr/>
        <w:t xml:space="preserve">Linfomas não Hodgkin (LNH)</w:t>
      </w:r>
      <w:r>
        <w:tab/>
      </w:r>
      <w:r>
        <w:t>16</w:t>
      </w:r>
    </w:p>
    <w:p>
      <w:pPr>
        <w:pStyle w:val="Sumrio4"/>
        <w:tabs>
          <w:tab w:val="right" w:leader="dot" w:pos="9968"/>
        </w:tabs>
      </w:pPr>
      <w:r>
        <w:rPr/>
        <w:t xml:space="preserve">Visão geral</w:t>
      </w:r>
      <w:r>
        <w:tab/>
      </w:r>
      <w:r>
        <w:t>16</w:t>
      </w:r>
    </w:p>
    <w:p>
      <w:pPr>
        <w:pStyle w:val="Sumrio4"/>
        <w:tabs>
          <w:tab w:val="right" w:leader="dot" w:pos="9968"/>
        </w:tabs>
      </w:pPr>
      <w:r>
        <w:rPr/>
        <w:t xml:space="preserve">Principais subtipos</w:t>
      </w:r>
      <w:r>
        <w:tab/>
      </w:r>
      <w:r>
        <w:t>16</w:t>
      </w:r>
    </w:p>
    <w:p>
      <w:pPr>
        <w:pStyle w:val="Sumrio4"/>
        <w:tabs>
          <w:tab w:val="right" w:leader="dot" w:pos="9968"/>
        </w:tabs>
      </w:pPr>
      <w:r>
        <w:rPr/>
        <w:t xml:space="preserve">Diagnóstico e estadiamento</w:t>
      </w:r>
      <w:r>
        <w:tab/>
      </w:r>
      <w:r>
        <w:t>17</w:t>
      </w:r>
    </w:p>
    <w:p>
      <w:pPr>
        <w:pStyle w:val="Sumrio4"/>
        <w:tabs>
          <w:tab w:val="right" w:leader="dot" w:pos="9968"/>
        </w:tabs>
      </w:pPr>
      <w:r>
        <w:rPr/>
        <w:t xml:space="preserve">Prognóstico: IPI</w:t>
      </w:r>
      <w:r>
        <w:tab/>
      </w:r>
      <w:r>
        <w:t>17</w:t>
      </w:r>
    </w:p>
    <w:p>
      <w:pPr>
        <w:pStyle w:val="Sumrio4"/>
        <w:tabs>
          <w:tab w:val="right" w:leader="dot" w:pos="9968"/>
        </w:tabs>
      </w:pPr>
      <w:r>
        <w:rPr/>
        <w:t xml:space="preserve">Hodgkin × não Hodgkin</w:t>
      </w:r>
      <w:r>
        <w:tab/>
      </w:r>
      <w:r>
        <w:t>17</w:t>
      </w:r>
    </w:p>
    <w:p>
      <w:pPr>
        <w:pStyle w:val="Sumrio3"/>
        <w:tabs>
          <w:tab w:val="right" w:leader="dot" w:pos="9968"/>
        </w:tabs>
      </w:pPr>
      <w:r>
        <w:rPr/>
        <w:t xml:space="preserve">Referências</w:t>
      </w:r>
      <w:r>
        <w:tab/>
      </w:r>
      <w:r>
        <w:t>18</w:t>
      </w:r>
    </w:p>
    <w:p w14:paraId="05982513" w14:textId="20D49E15" w:rsidR="002E369D" w:rsidRDefault="00A87142">
      <w:pPr>
        <w:pStyle w:val="Sumrio31"/>
      </w:pPr>
      <w:r>
        <w:fldChar w:fldCharType="end"/>
      </w:r>
    </w:p>
    <w:p w14:paraId="38D30FF6" w14:textId="77777777" w:rsidR="002E369D" w:rsidRDefault="00A87142">
      <w:pPr>
        <w:spacing w:after="0" w:line="240" w:lineRule="auto"/>
        <w:jc w:val="left"/>
      </w:pPr>
      <w:r>
        <w:br w:type="page"/>
      </w:r>
    </w:p>
    <w:p w14:paraId="5E72C7CD" w14:textId="77777777" w:rsidR="00045C66" w:rsidRDefault="00045C66">
      <w:pPr>
        <w:spacing w:line="259" w:lineRule="auto"/>
        <w:jc w:val="left"/>
        <w:sectPr w:rsidR="00045C66" w:rsidSect="00045C66">
          <w:type w:val="continuous"/>
          <w:pgSz w:w="11906" w:h="16838"/>
          <w:pgMar w:top="964" w:right="964" w:bottom="964" w:left="964" w:header="794" w:footer="227" w:gutter="0"/>
          <w:cols w:num="2" w:space="340"/>
          <w:titlePg/>
          <w:docGrid w:linePitch="360"/>
        </w:sectPr>
      </w:pP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Fundamentos das Neoplasias Hematológicas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HEMATOPOESE, CLASSIFICAÇÃO E EPIDEMIOLOGIA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Fundamentos das Neoplasias Hematológicas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HEMATOPOESE, CLASSIFICAÇÃO E EPIDEMIOLOGIA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Neoplasias hematológicas</w:t>
      </w:r>
    </w:p>
    <w:p>
      <w:pPr>
        <w:pStyle w:val="Ttulo4"/>
      </w:pPr>
      <w:r>
        <w:rPr/>
        <w:t xml:space="preserve">Da célula-tronco às neoplasias</w:t>
      </w:r>
    </w:p>
    <w:p>
      <w:r>
        <w:rPr/>
        <w:t xml:space="preserve">Todas as células do sangue nascem da </w:t>
      </w:r>
      <w:r>
        <w:rPr>
          <w:b/>
          <w:bCs/>
        </w:rPr>
        <w:t xml:space="preserve">célula-tronco hematopoética</w:t>
      </w:r>
      <w:r>
        <w:rPr/>
        <w:t xml:space="preserve"> na medula óssea, que se divide em duas grandes linhagens: </w:t>
      </w:r>
      <w:r>
        <w:rPr>
          <w:b/>
          <w:bCs/>
        </w:rPr>
        <w:t xml:space="preserve">mieloide</w:t>
      </w:r>
      <w:r>
        <w:rPr/>
        <w:t xml:space="preserve"> (hemácias, plaquetas, granulócitos e monócitos) e </w:t>
      </w:r>
      <w:r>
        <w:rPr>
          <w:b/>
          <w:bCs/>
        </w:rPr>
        <w:t xml:space="preserve">linfoide</w:t>
      </w:r>
      <w:r>
        <w:rPr/>
        <w:t xml:space="preserve"> (linfócitos B, T e NK). Uma neoplasia hematológica surge quando uma célula dessas linhagens acumula alterações genéticas e passa a proliferar sem controle.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</w:t>
      </w:r>
      <w:r>
        <w:rPr>
          <w:color w:val="921827"/>
          <w:sz w:val="18"/>
          <w:szCs w:val="18"/>
        </w:rPr>
        <w:t xml:space="preserve"> – Leucemia × linfoma: onde está a doença</w:t>
      </w:r>
    </w:p>
    <w:tbl>
      <w:tblPr>
        <w:tblW w:w="9900" w:type="dxa"/>
        <w:tblLayout w:type="fixed"/>
      </w:tblPr>
      <w:tblGrid>
        <w:gridCol w:w="2000"/>
        <w:gridCol w:w="4000"/>
        <w:gridCol w:w="3900"/>
      </w:tblGrid>
      <w:tr>
        <w:trPr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Leucemia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Linfoma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 começa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Medula óssea</w:t>
            </w:r>
            <w:r>
              <w:rPr>
                <w:sz w:val="18"/>
                <w:szCs w:val="18"/>
              </w:rPr>
              <w:t xml:space="preserve">, com células neoplásicas no sangue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Tecido linfoide</w:t>
            </w:r>
            <w:r>
              <w:rPr>
                <w:sz w:val="18"/>
                <w:szCs w:val="18"/>
              </w:rPr>
              <w:t xml:space="preserve"> (linfonodos, baço, MALT)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Apresentação típica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Citopenias (anemia, plaquetopenia, neutropenia) e células anormais no sangue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Linfonodomegalia, massa, sintomas B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Diagnóstico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Mielograma/biópsia de medula + imunofenotipagem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Biópsia do linfonodo</w:t>
            </w:r>
            <w:r>
              <w:rPr>
                <w:sz w:val="18"/>
                <w:szCs w:val="18"/>
              </w:rPr>
              <w:t xml:space="preserve"> (histologia + imuno-histoquímica)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Sobreposição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LLA e linfoma linfoblástico são a mesma doença em locais diferentes (&gt; 25% de blastos na medula = leucemia)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OMS 2022 (refs. 1 e 2); Harrison (ref. 12).</w:t>
      </w:r>
    </w:p>
    <w:p>
      <w:pPr>
        <w:pStyle w:val="Ttulo4"/>
      </w:pPr>
      <w:r>
        <w:rPr/>
        <w:t xml:space="preserve">Aguda × crônica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Aguda:</w:t>
      </w:r>
      <w:r>
        <w:rPr/>
        <w:t xml:space="preserve"> bloqueio da maturação. A medula se enche de </w:t>
      </w:r>
      <w:r>
        <w:rPr>
          <w:b/>
          <w:bCs/>
        </w:rPr>
        <w:t xml:space="preserve">blastos</w:t>
      </w:r>
      <w:r>
        <w:rPr/>
        <w:t xml:space="preserve"> (células imaturas) que não funcionam; evolução em </w:t>
      </w:r>
      <w:r>
        <w:rPr>
          <w:b/>
          <w:bCs/>
        </w:rPr>
        <w:t xml:space="preserve">dias a semanas</w:t>
      </w:r>
      <w:r>
        <w:rPr/>
        <w:t xml:space="preserve">, fatal sem tratamento, mas potencialmente curável.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Crônica:</w:t>
      </w:r>
      <w:r>
        <w:rPr/>
        <w:t xml:space="preserve"> a célula amadurece, porém se acumula; evolução em </w:t>
      </w:r>
      <w:r>
        <w:rPr>
          <w:b/>
          <w:bCs/>
        </w:rPr>
        <w:t xml:space="preserve">meses a anos</w:t>
      </w:r>
      <w:r>
        <w:rPr/>
        <w:t xml:space="preserve"> (LMC, LLC).</w:t>
      </w:r>
    </w:p>
    <w:p>
      <w:pPr>
        <w:pStyle w:val="Ttulo4"/>
      </w:pPr>
      <w:r>
        <w:rPr/>
        <w:t xml:space="preserve">Classificação</w:t>
      </w:r>
    </w:p>
    <w:p>
      <w:r>
        <w:rPr/>
        <w:t xml:space="preserve">Hoje as neoplasias hematológicas são classificadas pela </w:t>
      </w:r>
      <w:r>
        <w:rPr>
          <w:b/>
          <w:bCs/>
        </w:rPr>
        <w:t xml:space="preserve">OMS 2022 (5ª edição)</w:t>
      </w:r>
      <w:r>
        <w:rPr/>
        <w:t xml:space="preserve"> e pela </w:t>
      </w:r>
      <w:r>
        <w:rPr>
          <w:b/>
          <w:bCs/>
        </w:rPr>
        <w:t xml:space="preserve">Classificação de Consenso Internacional (ICC 2022)</w:t>
      </w:r>
      <w:r>
        <w:rPr/>
        <w:t xml:space="preserve">, que juntam morfologia, imunofenótipo, citogenética e biologia molecular. A antiga classificação FAB (M0 a M7, L1 a L3) só aparece por tradição.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Quadro 1</w:t>
      </w:r>
      <w:r>
        <w:rPr>
          <w:color w:val="921827"/>
          <w:sz w:val="18"/>
          <w:szCs w:val="18"/>
        </w:rPr>
        <w:t xml:space="preserve"> – Classificações atuais: OMS 2022 × ICC 2022 (LMA)</w:t>
      </w:r>
    </w:p>
    <w:tbl>
      <w:tblPr>
        <w:tblW w:w="9900" w:type="dxa"/>
        <w:tblLayout w:type="fixed"/>
      </w:tblPr>
      <w:tblGrid>
        <w:gridCol w:w="3300"/>
        <w:gridCol w:w="3300"/>
        <w:gridCol w:w="3300"/>
      </w:tblGrid>
      <w:tr>
        <w:trPr>
          <w:tblHeader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OMS 2022 (5ª ed.)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ICC 2022</w:t>
            </w:r>
          </w:p>
        </w:tc>
      </w:tr>
      <w:tr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Blastos para LMA em geral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≥ 20%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≥ 20%</w:t>
            </w:r>
          </w:p>
        </w:tc>
      </w:tr>
      <w:tr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LMA com alteração genética definidora (ex.: PML::RARA, RUNX1::RUNX1T1, CBFB::MYH11, NPM1)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Qualquer percentual</w:t>
            </w:r>
            <w:r>
              <w:rPr>
                <w:sz w:val="18"/>
                <w:szCs w:val="18"/>
              </w:rPr>
              <w:t xml:space="preserve"> de blastos (exceto BCR::ABL1 e CEBPA, que exigem ≥ 20%)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≥ 10%</w:t>
            </w:r>
            <w:r>
              <w:rPr>
                <w:sz w:val="18"/>
                <w:szCs w:val="18"/>
              </w:rPr>
              <w:t xml:space="preserve"> de blastos</w:t>
            </w:r>
          </w:p>
        </w:tc>
      </w:tr>
      <w:tr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Faixa de 10 a 19% de blastos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Síndrome mielodisplásica com excesso de blastos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Nova categoria </w:t>
            </w:r>
            <w:r>
              <w:rPr>
                <w:b/>
                <w:bCs/>
                <w:sz w:val="18"/>
                <w:szCs w:val="18"/>
              </w:rPr>
              <w:t xml:space="preserve">SMD/LMA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Fontes: Khoury et al., OMS 2022 (ref. 1); Arber et al., ICC 2022 (ref. 3).</w:t>
      </w:r>
    </w:p>
    <w:p>
      <w:pPr>
        <w:pStyle w:val="Ttulo4"/>
      </w:pPr>
      <w:r>
        <w:rPr/>
        <w:t xml:space="preserve">Epidemiologia no Brasil</w:t>
      </w:r>
    </w:p>
    <w:p>
      <w:pPr>
        <w:numPr>
          <w:ilvl w:val="0"/>
          <w:numId w:val="1"/>
        </w:numPr>
      </w:pPr>
      <w:r>
        <w:rPr/>
        <w:t xml:space="preserve">A </w:t>
      </w:r>
      <w:r>
        <w:rPr>
          <w:b/>
          <w:bCs/>
        </w:rPr>
        <w:t xml:space="preserve">leucemia é o câncer mais comum da infância</w:t>
      </w:r>
      <w:r>
        <w:rPr/>
        <w:t xml:space="preserve"> (cerca de um terço dos casos), e a maioria é </w:t>
      </w:r>
      <w:r>
        <w:rPr>
          <w:b/>
          <w:bCs/>
        </w:rPr>
        <w:t xml:space="preserve">LLA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Nos adultos predomina a </w:t>
      </w:r>
      <w:r>
        <w:rPr>
          <w:b/>
          <w:bCs/>
        </w:rPr>
        <w:t xml:space="preserve">LMA</w:t>
      </w:r>
      <w:r>
        <w:rPr/>
        <w:t xml:space="preserve">, com mediana de idade perto dos 70 anos.</w:t>
      </w:r>
    </w:p>
    <w:p>
      <w:pPr>
        <w:numPr>
          <w:ilvl w:val="0"/>
          <w:numId w:val="1"/>
        </w:numPr>
      </w:pPr>
      <w:r>
        <w:rPr/>
        <w:t xml:space="preserve">O INCA inclui as leucemias e os linfomas não Hodgkin entre os cânceres mais incidentes do país; o linfoma de Hodgkin é menos frequente e acomete principalmente adolescentes e adultos jovens.</w:t>
      </w:r>
    </w:p>
    <w:p>
      <w:pPr>
        <w:pStyle w:val="Ttulo4"/>
      </w:pPr>
      <w:r>
        <w:rPr/>
        <w:t xml:space="preserve">Fatores de risco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2</w:t>
      </w:r>
      <w:r>
        <w:rPr>
          <w:color w:val="921827"/>
          <w:sz w:val="18"/>
          <w:szCs w:val="18"/>
        </w:rPr>
        <w:t xml:space="preserve"> – Fatores de risco para leucemias e linfomas</w:t>
      </w:r>
    </w:p>
    <w:tbl>
      <w:tblPr>
        <w:tblW w:w="9900" w:type="dxa"/>
        <w:tblLayout w:type="fixed"/>
      </w:tblPr>
      <w:tblGrid>
        <w:gridCol w:w="5200"/>
        <w:gridCol w:w="4700"/>
      </w:tblGrid>
      <w:tr>
        <w:trPr>
          <w:tblHeader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Associação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Radiação ionizante, benzeno, quimioterapia prévia (alquilantes, inibidores de topoisomerase)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LMA (relacionada à terapia), LLA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Síndromes genéticas: </w:t>
            </w:r>
            <w:r>
              <w:rPr>
                <w:b/>
                <w:bCs/>
                <w:sz w:val="18"/>
                <w:szCs w:val="18"/>
              </w:rPr>
              <w:t xml:space="preserve">Down</w:t>
            </w:r>
            <w:r>
              <w:rPr>
                <w:b/>
                <w:bCs/>
                <w:sz w:val="18"/>
                <w:szCs w:val="18"/>
              </w:rPr>
              <w:t xml:space="preserve">, Fanconi, Li-Fraumeni, ataxia-telangiectasia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LLA e LMA (Down: risco 10 a 20 vezes maior)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Doenças hematológicas prévias: SMD, neoplasias mieloproliferativas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LMA secundária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EBV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Linfoma de Hodgkin, Burkitt endêmico, linfomas em imunossuprimidos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HIV</w:t>
            </w:r>
            <w:r>
              <w:rPr>
                <w:b/>
                <w:bCs/>
                <w:sz w:val="18"/>
                <w:szCs w:val="18"/>
              </w:rPr>
              <w:t xml:space="preserve"> e imunossupressão (transplante)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LNH agressivos (Burkitt, difuso de grandes células B, primário do SNC)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HTLV-1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Leucemia/linfoma de células T do adulto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H. pylori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Linfoma MALT gástrico</w:t>
            </w: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Hepatite C, doenças autoimunes (Sjögren, tireoidite de Hashimoto)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LNH (zona marginal, MALT)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12); INCA (ref. 10).</w:t>
      </w:r>
    </w:p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Leucemias Agudas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LLA, LMA E LEUCEMIA PROMIELOCÍTICA AGUDA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Leucemias Agudas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LLA, LMA E LEUCEMIA PROMIELOCÍTICA AGUDA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Leucemias agudas: visão geral</w:t>
      </w:r>
    </w:p>
    <w:p>
      <w:pPr>
        <w:pStyle w:val="Ttulo4"/>
      </w:pPr>
      <w:r>
        <w:rPr/>
        <w:t xml:space="preserve">Quadro clínico</w:t>
      </w:r>
    </w:p>
    <w:p>
      <w:r>
        <w:rPr/>
        <w:t xml:space="preserve">Os sintomas vêm de duas fontes: a </w:t>
      </w:r>
      <w:r>
        <w:rPr>
          <w:b/>
          <w:bCs/>
        </w:rPr>
        <w:t xml:space="preserve">falência da medula</w:t>
      </w:r>
      <w:r>
        <w:rPr/>
        <w:t xml:space="preserve"> (que não produz células normais) e a </w:t>
      </w:r>
      <w:r>
        <w:rPr>
          <w:b/>
          <w:bCs/>
        </w:rPr>
        <w:t xml:space="preserve">infiltração</w:t>
      </w:r>
      <w:r>
        <w:rPr/>
        <w:t xml:space="preserve"> de órgãos pelos blastos. A história costuma ser curta, de </w:t>
      </w:r>
      <w:r>
        <w:rPr>
          <w:b/>
          <w:bCs/>
        </w:rPr>
        <w:t xml:space="preserve">dias a poucas semanas</w:t>
      </w:r>
      <w:r>
        <w:rPr/>
        <w:t xml:space="preserve">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3</w:t>
      </w:r>
      <w:r>
        <w:rPr>
          <w:color w:val="921827"/>
          <w:sz w:val="18"/>
          <w:szCs w:val="18"/>
        </w:rPr>
        <w:t xml:space="preserve"> – Manifestações das leucemias agudas</w:t>
      </w:r>
    </w:p>
    <w:tbl>
      <w:tblPr>
        <w:tblW w:w="9900" w:type="dxa"/>
        <w:tblLayout w:type="fixed"/>
      </w:tblPr>
      <w:tblGrid>
        <w:gridCol w:w="2300"/>
        <w:gridCol w:w="7600"/>
      </w:tblGrid>
      <w:tr>
        <w:trPr>
          <w:tblHeader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w="7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Manifestação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Anemia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Palidez, cansaço, dispneia, taquicardia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Plaquetopenia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Petéquias, equimoses, gengivorragia, epistaxe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Neutropenia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Febre e infecções de repetição ou graves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Infiltração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Dor óssea</w:t>
            </w:r>
            <w:r>
              <w:rPr>
                <w:sz w:val="18"/>
                <w:szCs w:val="18"/>
              </w:rPr>
              <w:t xml:space="preserve"> e recusa a andar (criança com LLA), hepatoesplenomegalia, linfonodomegalia, </w:t>
            </w:r>
            <w:r>
              <w:rPr>
                <w:b/>
                <w:bCs/>
                <w:sz w:val="18"/>
                <w:szCs w:val="18"/>
              </w:rPr>
              <w:t xml:space="preserve">hipertrofia gengival</w:t>
            </w:r>
            <w:r>
              <w:rPr>
                <w:sz w:val="18"/>
                <w:szCs w:val="18"/>
              </w:rPr>
              <w:t xml:space="preserve"> e infiltração de pele (LMA monocítica), </w:t>
            </w:r>
            <w:r>
              <w:rPr>
                <w:b/>
                <w:bCs/>
                <w:sz w:val="18"/>
                <w:szCs w:val="18"/>
              </w:rPr>
              <w:t xml:space="preserve">massa mediastinal</w:t>
            </w:r>
            <w:r>
              <w:rPr>
                <w:sz w:val="18"/>
                <w:szCs w:val="18"/>
              </w:rPr>
              <w:t xml:space="preserve"> (LLA-T), sistema nervoso central e testículo (LLA)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Coagulopatia</w:t>
            </w:r>
          </w:p>
        </w:tc>
        <w:tc>
          <w:tcPr>
            <w:tcW w:w="7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Sangramento grave por </w:t>
            </w:r>
            <w:r>
              <w:rPr>
                <w:b/>
                <w:bCs/>
                <w:sz w:val="18"/>
                <w:szCs w:val="18"/>
              </w:rPr>
              <w:t xml:space="preserve">CIVD</w:t>
            </w:r>
            <w:r>
              <w:rPr>
                <w:sz w:val="18"/>
                <w:szCs w:val="18"/>
              </w:rPr>
              <w:t xml:space="preserve"> (típico da leucemia promielocítica)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12); INCA, diagnóstico precoce na criança (ref. 14).</w:t>
      </w:r>
    </w:p>
    <w:p>
      <w:pPr>
        <w:pStyle w:val="Ttulo4"/>
      </w:pPr>
      <w:r>
        <w:rPr/>
        <w:t xml:space="preserve">Diagnóstico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Hemograma:</w:t>
      </w:r>
      <w:r>
        <w:rPr/>
        <w:t xml:space="preserve"> anemia normocítica, plaquetopenia; leucócitos baixos, normais ou muito altos. Blastos no esfregaço (às vezes ausentes: "leucemia aleucêmica").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Mielograma</w:t>
      </w:r>
      <w:r>
        <w:rPr/>
        <w:t xml:space="preserve"> (aspirado) ± biópsia de medula: </w:t>
      </w:r>
      <w:r>
        <w:rPr>
          <w:b/>
          <w:bCs/>
        </w:rPr>
        <w:t xml:space="preserve">≥ 20% de blastos</w:t>
      </w:r>
      <w:r>
        <w:rPr/>
        <w:t xml:space="preserve"> define leucemia aguda (com as exceções genéticas da LMA; na LLA pediátrica os protocolos usam ≥ 25%).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Imunofenotipagem por citometria de fluxo:</w:t>
      </w:r>
      <w:r>
        <w:rPr/>
        <w:t xml:space="preserve"> define a linhagem (mieloide × linfoide B ou T). É </w:t>
      </w:r>
      <w:r>
        <w:rPr>
          <w:b/>
          <w:bCs/>
        </w:rPr>
        <w:t xml:space="preserve">o exame que separa LMA de LLA</w:t>
      </w:r>
      <w:r>
        <w:rPr/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Citogenética e biologia molecular:</w:t>
      </w:r>
      <w:r>
        <w:rPr/>
        <w:t xml:space="preserve"> classificação e </w:t>
      </w:r>
      <w:r>
        <w:rPr>
          <w:b/>
          <w:bCs/>
        </w:rPr>
        <w:t xml:space="preserve">prognóstico</w:t>
      </w:r>
      <w:r>
        <w:rPr/>
        <w:t xml:space="preserve"> (risco), e escolha de terapia-alvo.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Exames do dia 1:</w:t>
      </w:r>
      <w:r>
        <w:rPr/>
        <w:t xml:space="preserve"> coagulograma e fibrinogênio, ácido úrico, potássio, fósforo, cálcio, creatinina, LDH, função hepática, sorologias, tipagem sanguínea, radiografia de tórax e, na LLA, líquor.</w:t>
      </w:r>
    </w:p>
    <w:p>
      <w:pPr>
        <w:jc w:val="center"/>
      </w:pPr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49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24_fluxo_leucemi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6"/>
          <w:szCs w:val="16"/>
        </w:rPr>
        <w:t xml:space="preserve">Figura 1</w:t>
      </w:r>
      <w:r>
        <w:rPr>
          <w:color w:val="921827"/>
          <w:sz w:val="16"/>
          <w:szCs w:val="16"/>
        </w:rPr>
        <w:t xml:space="preserve">: Investigação da suspeita de leucemia aguda</w:t>
      </w:r>
    </w:p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Fluxograma MedSum elaborado a partir de Döhner et al., ELN 2022 (ref. 4) e Harrison (ref. 12).</w:t>
      </w:r>
    </w:p>
    <w:p>
      <w:pPr>
        <w:pStyle w:val="Ttulo3"/>
      </w:pPr>
      <w:r>
        <w:rPr/>
        <w:t xml:space="preserve">Leucemia linfoblástica aguda (LLA)</w:t>
      </w:r>
    </w:p>
    <w:p>
      <w:pPr>
        <w:pStyle w:val="Ttulo4"/>
      </w:pPr>
      <w:r>
        <w:rPr/>
        <w:t xml:space="preserve">Epidemiologia e quadro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Câncer mais comum da infância</w:t>
      </w:r>
      <w:r>
        <w:rPr/>
        <w:t xml:space="preserve">, com pico entre </w:t>
      </w:r>
      <w:r>
        <w:rPr>
          <w:b/>
          <w:bCs/>
        </w:rPr>
        <w:t xml:space="preserve">2 e 5 anos</w:t>
      </w:r>
      <w:r>
        <w:rPr/>
        <w:t xml:space="preserve">. Também ocorre em adultos, com pior prognóstico.</w:t>
      </w:r>
    </w:p>
    <w:p>
      <w:pPr>
        <w:numPr>
          <w:ilvl w:val="0"/>
          <w:numId w:val="1"/>
        </w:numPr>
      </w:pPr>
      <w:r>
        <w:rPr/>
        <w:t xml:space="preserve">Quadro típico: criança com palidez, febre, petéquias, </w:t>
      </w:r>
      <w:r>
        <w:rPr>
          <w:b/>
          <w:bCs/>
        </w:rPr>
        <w:t xml:space="preserve">dor óssea ou claudicação</w:t>
      </w:r>
      <w:r>
        <w:rPr/>
        <w:t xml:space="preserve">, hepatoesplenomegalia e linfonodos. A LLA-T aparece em adolescente com </w:t>
      </w:r>
      <w:r>
        <w:rPr>
          <w:b/>
          <w:bCs/>
        </w:rPr>
        <w:t xml:space="preserve">massa mediastinal</w:t>
      </w:r>
      <w:r>
        <w:rPr/>
        <w:t xml:space="preserve"> (risco de síndrome da veia cava superior) e leucometria alta.</w:t>
      </w:r>
    </w:p>
    <w:p>
      <w:pPr>
        <w:numPr>
          <w:ilvl w:val="0"/>
          <w:numId w:val="1"/>
        </w:numPr>
      </w:pPr>
      <w:r>
        <w:rPr/>
        <w:t xml:space="preserve">Sinal de alerta na pediatria: </w:t>
      </w:r>
      <w:r>
        <w:rPr>
          <w:b/>
          <w:bCs/>
        </w:rPr>
        <w:t xml:space="preserve">dor óssea que acorda a criança</w:t>
      </w:r>
      <w:r>
        <w:rPr/>
        <w:t xml:space="preserve"> ou artralgia com citopenias, que pode ser confundida com artrite idiopática juvenil (cuidado com corticoide antes do mielograma: mascara o diagnóstico).</w:t>
      </w:r>
    </w:p>
    <w:p>
      <w:pPr>
        <w:pStyle w:val="Ttulo4"/>
      </w:pPr>
      <w:r>
        <w:rPr/>
        <w:t xml:space="preserve">Imunofenótipo e genética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4</w:t>
      </w:r>
      <w:r>
        <w:rPr>
          <w:color w:val="921827"/>
          <w:sz w:val="18"/>
          <w:szCs w:val="18"/>
        </w:rPr>
        <w:t xml:space="preserve"> – LLA: imunofenótipo e alterações genéticas com valor prognóstico</w:t>
      </w:r>
    </w:p>
    <w:tbl>
      <w:tblPr>
        <w:tblW w:w="9900" w:type="dxa"/>
        <w:tblLayout w:type="fixed"/>
      </w:tblPr>
      <w:tblGrid>
        <w:gridCol w:w="3000"/>
        <w:gridCol w:w="3100"/>
        <w:gridCol w:w="3800"/>
      </w:tblGrid>
      <w:tr>
        <w:trPr>
          <w:tblHeader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LLA-B (cerca de 85% na criança)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TdT+, CD19, CD10, CD22, CD79a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Mais comum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LLA-T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TdT+, CD3 citoplasmático, CD7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Adolescente, massa mediastinal, leucometria alta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Hiperdiploidia (&gt; 50 cromossomos)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LLA-B da criança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Bom prognóstico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t(12;21) ETV6::RUNX1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LLA-B da criança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Bom prognóstico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t(9;22) BCR::ABL1 (cromossomo Philadelphia)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Até 25% dos adultos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Pior prognóstico, mas responde a </w:t>
            </w:r>
            <w:r>
              <w:rPr>
                <w:b/>
                <w:bCs/>
                <w:sz w:val="18"/>
                <w:szCs w:val="18"/>
              </w:rPr>
              <w:t xml:space="preserve">inibidores de tirosina-quinase</w:t>
            </w:r>
            <w:r>
              <w:rPr>
                <w:sz w:val="18"/>
                <w:szCs w:val="18"/>
              </w:rPr>
              <w:t xml:space="preserve"> (imatinibe, dasatinibe, ponatinibe)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Rearranjo de KMT2A (MLL)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Lactentes &lt; 1 ano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Mau prognóstico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Hipodiploidia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Criança e adulto</w:t>
            </w:r>
          </w:p>
        </w:tc>
        <w:tc>
          <w:tcPr>
            <w:tcW w:w="3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Mau prognóstico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Inaba e Mullighan (ref. 11); OMS 2022 (ref. 2).</w:t>
      </w:r>
    </w:p>
    <w:p>
      <w:pPr>
        <w:pStyle w:val="Ttulo4"/>
      </w:pPr>
      <w:r>
        <w:rPr/>
        <w:t xml:space="preserve">Fatores prognósticos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Favoráveis:</w:t>
      </w:r>
      <w:r>
        <w:rPr/>
        <w:t xml:space="preserve"> idade de </w:t>
      </w:r>
      <w:r>
        <w:rPr>
          <w:b/>
          <w:bCs/>
        </w:rPr>
        <w:t xml:space="preserve">1 a 9 anos</w:t>
      </w:r>
      <w:r>
        <w:rPr/>
        <w:t xml:space="preserve">, leucometria inicial </w:t>
      </w:r>
      <w:r>
        <w:rPr>
          <w:b/>
          <w:bCs/>
        </w:rPr>
        <w:t xml:space="preserve">&lt; 50.000/mm³</w:t>
      </w:r>
      <w:r>
        <w:rPr/>
        <w:t xml:space="preserve">, LLA-B, alterações genéticas favoráveis e </w:t>
      </w:r>
      <w:r>
        <w:rPr>
          <w:b/>
          <w:bCs/>
        </w:rPr>
        <w:t xml:space="preserve">doença residual mínima negativa</w:t>
      </w:r>
      <w:r>
        <w:rPr/>
        <w:t xml:space="preserve"> ao fim da indução (o fator mais forte hoje).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Desfavoráveis:</w:t>
      </w:r>
      <w:r>
        <w:rPr/>
        <w:t xml:space="preserve"> &lt; 1 ano ou ≥ 10 anos, leucometria ≥ 50.000/mm³, infiltração do SNC, genética adversa e doença residual mínima positiva.</w:t>
      </w:r>
    </w:p>
    <w:p>
      <w:pPr>
        <w:pStyle w:val="Ttulo4"/>
      </w:pPr>
      <w:r>
        <w:rPr/>
        <w:t xml:space="preserve">Tratamento</w:t>
      </w:r>
    </w:p>
    <w:p>
      <w:r>
        <w:rPr/>
        <w:t xml:space="preserve">O tratamento dura cerca de </w:t>
      </w:r>
      <w:r>
        <w:rPr>
          <w:b/>
          <w:bCs/>
        </w:rPr>
        <w:t xml:space="preserve">2 a 3 anos</w:t>
      </w:r>
      <w:r>
        <w:rPr/>
        <w:t xml:space="preserve"> e segue protocolos por fases (no Brasil, protocolos do GBTLI e do BFM). A cura na infância passa de </w:t>
      </w:r>
      <w:r>
        <w:rPr>
          <w:b/>
          <w:bCs/>
        </w:rPr>
        <w:t xml:space="preserve">85 a 90%</w:t>
      </w:r>
      <w:r>
        <w:rPr/>
        <w:t xml:space="preserve"> nos centros de referência.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5</w:t>
      </w:r>
      <w:r>
        <w:rPr>
          <w:color w:val="921827"/>
          <w:sz w:val="18"/>
          <w:szCs w:val="18"/>
        </w:rPr>
        <w:t xml:space="preserve"> – Fases do tratamento da LLA</w:t>
      </w:r>
    </w:p>
    <w:tbl>
      <w:tblPr>
        <w:tblW w:w="9900" w:type="dxa"/>
        <w:tblLayout w:type="fixed"/>
      </w:tblPr>
      <w:tblGrid>
        <w:gridCol w:w="2400"/>
        <w:gridCol w:w="3600"/>
        <w:gridCol w:w="3900"/>
      </w:tblGrid>
      <w:tr>
        <w:trPr>
          <w:tblHeader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Exemplos de fármacos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Indução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Remissão completa (&lt; 5% de blastos e hemograma recuperado)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Corticoide, vincristina, asparaginase, antraciclina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Consolidação / intensificação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Eliminar a doença residual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Metotrexato em alta dose, ciclofosfamida, citarabina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Profilaxia do SNC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Evitar recaída no sistema nervoso central (santuário)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Quimioterapia intratecal</w:t>
            </w:r>
            <w:r>
              <w:rPr>
                <w:sz w:val="18"/>
                <w:szCs w:val="18"/>
              </w:rPr>
              <w:t xml:space="preserve"> (metotrexato) e metotrexato em alta dose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Manutenção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Manter a remissão por 2 a 3 anos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6-mercaptopurina</w:t>
            </w:r>
            <w:r>
              <w:rPr>
                <w:sz w:val="18"/>
                <w:szCs w:val="18"/>
              </w:rPr>
              <w:t xml:space="preserve"> oral diária + </w:t>
            </w:r>
            <w:r>
              <w:rPr>
                <w:b/>
                <w:bCs/>
                <w:sz w:val="18"/>
                <w:szCs w:val="18"/>
              </w:rPr>
              <w:t xml:space="preserve">metotrexato</w:t>
            </w:r>
            <w:r>
              <w:rPr>
                <w:sz w:val="18"/>
                <w:szCs w:val="18"/>
              </w:rPr>
              <w:t xml:space="preserve"> semanal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Situações especiais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Ph+, recaída, alto risco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Inibidor de tirosina-quinase, blinatumomabe, CAR-T, transplante alogênico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Inaba e Mullighan (ref. 11); Harrison (ref. 12).</w:t>
      </w:r>
    </w:p>
    <w:p>
      <w:pPr>
        <w:pStyle w:val="Ttulo3"/>
      </w:pPr>
      <w:r>
        <w:rPr/>
        <w:t xml:space="preserve">Leucemia mieloide aguda (LMA)</w:t>
      </w:r>
    </w:p>
    <w:p>
      <w:pPr>
        <w:pStyle w:val="Ttulo4"/>
      </w:pPr>
      <w:r>
        <w:rPr/>
        <w:t xml:space="preserve">Epidemiologia e quadro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Leucemia aguda mais comum no adulto</w:t>
      </w:r>
      <w:r>
        <w:rPr/>
        <w:t xml:space="preserve">, com incidência que aumenta com a idade.</w:t>
      </w:r>
    </w:p>
    <w:p>
      <w:pPr>
        <w:numPr>
          <w:ilvl w:val="0"/>
          <w:numId w:val="1"/>
        </w:numPr>
      </w:pPr>
      <w:r>
        <w:rPr/>
        <w:t xml:space="preserve">Pode ser </w:t>
      </w:r>
      <w:r>
        <w:rPr>
          <w:b/>
          <w:bCs/>
        </w:rPr>
        <w:t xml:space="preserve">de novo</w:t>
      </w:r>
      <w:r>
        <w:rPr/>
        <w:t xml:space="preserve">, </w:t>
      </w:r>
      <w:r>
        <w:rPr>
          <w:b/>
          <w:bCs/>
        </w:rPr>
        <w:t xml:space="preserve">secundária</w:t>
      </w:r>
      <w:r>
        <w:rPr/>
        <w:t xml:space="preserve"> a SMD ou neoplasia mieloproliferativa, ou </w:t>
      </w:r>
      <w:r>
        <w:rPr>
          <w:b/>
          <w:bCs/>
        </w:rPr>
        <w:t xml:space="preserve">relacionada à terapia</w:t>
      </w:r>
      <w:r>
        <w:rPr/>
        <w:t xml:space="preserve"> (quimioterapia/radioterapia prévias).</w:t>
      </w:r>
    </w:p>
    <w:p>
      <w:pPr>
        <w:numPr>
          <w:ilvl w:val="0"/>
          <w:numId w:val="1"/>
        </w:numPr>
      </w:pPr>
      <w:r>
        <w:rPr/>
        <w:t xml:space="preserve">Pistas: </w:t>
      </w:r>
      <w:r>
        <w:rPr>
          <w:b/>
          <w:bCs/>
        </w:rPr>
        <w:t xml:space="preserve">hipertrofia gengival</w:t>
      </w:r>
      <w:r>
        <w:rPr/>
        <w:t xml:space="preserve"> e lesões de pele (leucemia cútis) nas formas monocíticas; </w:t>
      </w:r>
      <w:r>
        <w:rPr>
          <w:b/>
          <w:bCs/>
        </w:rPr>
        <w:t xml:space="preserve">sarcoma mieloide</w:t>
      </w:r>
      <w:r>
        <w:rPr/>
        <w:t xml:space="preserve"> (massa de blastos fora da medula); </w:t>
      </w:r>
      <w:r>
        <w:rPr>
          <w:b/>
          <w:bCs/>
        </w:rPr>
        <w:t xml:space="preserve">CIVD</w:t>
      </w:r>
      <w:r>
        <w:rPr/>
        <w:t xml:space="preserve"> na promielocítica.</w:t>
      </w:r>
    </w:p>
    <w:p>
      <w:pPr>
        <w:pStyle w:val="Ttulo4"/>
      </w:pPr>
      <w:r>
        <w:rPr/>
        <w:t xml:space="preserve">Diagnóstico e risco</w:t>
      </w:r>
    </w:p>
    <w:p>
      <w:pPr>
        <w:numPr>
          <w:ilvl w:val="0"/>
          <w:numId w:val="1"/>
        </w:numPr>
      </w:pPr>
      <w:r>
        <w:rPr/>
        <w:t xml:space="preserve">Blastos com </w:t>
      </w:r>
      <w:r>
        <w:rPr>
          <w:b/>
          <w:bCs/>
        </w:rPr>
        <w:t xml:space="preserve">bastonetes de Auer</w:t>
      </w:r>
      <w:r>
        <w:rPr/>
        <w:t xml:space="preserve"> (inclusões em agulha, patognomônicos de linhagem mieloide) e mieloperoxidase positiva.</w:t>
      </w:r>
    </w:p>
    <w:p>
      <w:pPr>
        <w:numPr>
          <w:ilvl w:val="0"/>
          <w:numId w:val="1"/>
        </w:numPr>
      </w:pPr>
      <w:r>
        <w:rPr/>
        <w:t xml:space="preserve">Imunofenótipo: </w:t>
      </w:r>
      <w:r>
        <w:rPr>
          <w:b/>
          <w:bCs/>
        </w:rPr>
        <w:t xml:space="preserve">CD13, CD33, CD117, CD34, MPO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A </w:t>
      </w:r>
      <w:r>
        <w:rPr>
          <w:b/>
          <w:bCs/>
        </w:rPr>
        <w:t xml:space="preserve">genética define o risco (ELN 2022)</w:t>
      </w:r>
      <w:r>
        <w:rPr/>
        <w:t xml:space="preserve"> e o tratamento.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6</w:t>
      </w:r>
      <w:r>
        <w:rPr>
          <w:color w:val="921827"/>
          <w:sz w:val="18"/>
          <w:szCs w:val="18"/>
        </w:rPr>
        <w:t xml:space="preserve"> – Estratificação de risco genético da LMA (ELN 2022, simplificada)</w:t>
      </w:r>
    </w:p>
    <w:tbl>
      <w:tblPr>
        <w:tblW w:w="9900" w:type="dxa"/>
        <w:tblLayout w:type="fixed"/>
      </w:tblPr>
      <w:tblGrid>
        <w:gridCol w:w="2000"/>
        <w:gridCol w:w="7900"/>
      </w:tblGrid>
      <w:tr>
        <w:trPr>
          <w:tblHeader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w="79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Alterações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Favorável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t(8;21) RUNX1::RUNX1T1; inv(16) ou t(16;16) CBFB::MYH11; </w:t>
            </w:r>
            <w:r>
              <w:rPr>
                <w:b/>
                <w:bCs/>
                <w:sz w:val="18"/>
                <w:szCs w:val="18"/>
              </w:rPr>
              <w:t xml:space="preserve">NPM1 mutado</w:t>
            </w:r>
            <w:r>
              <w:rPr>
                <w:sz w:val="18"/>
                <w:szCs w:val="18"/>
              </w:rPr>
              <w:t xml:space="preserve"> sem alteração adversa; mutação bZIP do CEBPA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Intermediário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NPM1 mutado com FLT3-ITD; t(9;11); alterações não classificadas como favoráveis ou adversas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Adverso</w:t>
            </w:r>
          </w:p>
        </w:tc>
        <w:tc>
          <w:tcPr>
            <w:tcW w:w="79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TP53 mutado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cariótipo complexo</w:t>
            </w:r>
            <w:r>
              <w:rPr>
                <w:sz w:val="18"/>
                <w:szCs w:val="18"/>
              </w:rPr>
              <w:t xml:space="preserve">, −5/del(5q), −7, −17/abn(17p), t(6;9), inv(3), BCR::ABL1, mutações de ASXL1, RUNX1 e genes de splicing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Döhner et al., ELN 2022 (ref. 4).</w:t>
      </w:r>
    </w:p>
    <w:p>
      <w:pPr>
        <w:pStyle w:val="Ttulo4"/>
      </w:pPr>
      <w:r>
        <w:rPr/>
        <w:t xml:space="preserve">Tratamento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Paciente apto para quimioterapia intensiva:</w:t>
      </w:r>
      <w:r>
        <w:rPr/>
        <w:t xml:space="preserve"> indução </w:t>
      </w:r>
      <w:r>
        <w:rPr>
          <w:b/>
          <w:bCs/>
        </w:rPr>
        <w:t xml:space="preserve">"7 + 3"</w:t>
      </w:r>
      <w:r>
        <w:rPr/>
        <w:t xml:space="preserve"> (citarabina por 7 dias + daunorrubicina ou idarrubicina por 3 dias), com acréscimo de terapia-alvo conforme a mutação (midostaurina se FLT3, gentuzumabe-ozogamicina em CBF).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Consolidação:</w:t>
      </w:r>
      <w:r>
        <w:rPr/>
        <w:t xml:space="preserve"> citarabina em altas doses (risco favorável) ou </w:t>
      </w:r>
      <w:r>
        <w:rPr>
          <w:b/>
          <w:bCs/>
        </w:rPr>
        <w:t xml:space="preserve">transplante alogênico</w:t>
      </w:r>
      <w:r>
        <w:rPr/>
        <w:t xml:space="preserve"> de células-tronco (risco intermediário e adverso, se houver doador).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Idoso ou não apto:</w:t>
      </w:r>
      <w:r>
        <w:rPr/>
        <w:t xml:space="preserve"> agentes hipometilantes (</w:t>
      </w:r>
      <w:r>
        <w:rPr>
          <w:b/>
          <w:bCs/>
        </w:rPr>
        <w:t xml:space="preserve">azacitidina</w:t>
      </w:r>
      <w:r>
        <w:rPr/>
        <w:t xml:space="preserve">) + </w:t>
      </w:r>
      <w:r>
        <w:rPr>
          <w:b/>
          <w:bCs/>
        </w:rPr>
        <w:t xml:space="preserve">venetoclax</w:t>
      </w:r>
      <w:r>
        <w:rPr/>
        <w:t xml:space="preserve">, ou cuidados de suporte.</w:t>
      </w:r>
    </w:p>
    <w:p>
      <w:pPr>
        <w:numPr>
          <w:ilvl w:val="0"/>
          <w:numId w:val="1"/>
        </w:numPr>
      </w:pPr>
      <w:r>
        <w:rPr/>
        <w:t xml:space="preserve">Suporte em todos: transfusões, profilaxia e tratamento de infecções, prevenção de lise tumoral.</w:t>
      </w:r>
    </w:p>
    <w:p>
      <w:pPr>
        <w:pStyle w:val="Ttulo3"/>
      </w:pPr>
      <w:r>
        <w:rPr/>
        <w:t xml:space="preserve">Leucemia promielocítica aguda (LPA)</w:t>
      </w:r>
    </w:p>
    <w:p>
      <w:r>
        <w:rPr/>
        <w:t xml:space="preserve">É um subtipo de LMA (antiga M3) definido pela </w:t>
      </w:r>
      <w:r>
        <w:rPr>
          <w:b/>
          <w:bCs/>
        </w:rPr>
        <w:t xml:space="preserve">t(15;17)</w:t>
      </w:r>
      <w:r>
        <w:rPr/>
        <w:t xml:space="preserve">, que forma o gene de fusão </w:t>
      </w:r>
      <w:r>
        <w:rPr>
          <w:b/>
          <w:bCs/>
        </w:rPr>
        <w:t xml:space="preserve">PML::RARA</w:t>
      </w:r>
      <w:r>
        <w:rPr/>
        <w:t xml:space="preserve">. Os promielócitos anormais liberam substâncias pró-coagulantes e fibrinolíticas, e o paciente chega com </w:t>
      </w:r>
      <w:r>
        <w:rPr>
          <w:b/>
          <w:bCs/>
        </w:rPr>
        <w:t xml:space="preserve">CIVD e hiperfibrinólise</w:t>
      </w:r>
      <w:r>
        <w:rPr/>
        <w:t xml:space="preserve">: sangramentos graves (incluindo hemorragia intracraniana) são a principal causa de morte precoce.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É emergência:</w:t>
      </w:r>
      <w:r>
        <w:rPr/>
        <w:t xml:space="preserve"> iniciar o </w:t>
      </w:r>
      <w:r>
        <w:rPr>
          <w:b/>
          <w:bCs/>
        </w:rPr>
        <w:t xml:space="preserve">ácido transretinoico (ATRA)</w:t>
      </w:r>
      <w:r>
        <w:rPr/>
        <w:t xml:space="preserve"> já na </w:t>
      </w:r>
      <w:r>
        <w:rPr>
          <w:b/>
          <w:bCs/>
        </w:rPr>
        <w:t xml:space="preserve">suspeita</w:t>
      </w:r>
      <w:r>
        <w:rPr/>
        <w:t xml:space="preserve"> (promielócitos + coagulopatia), sem esperar a confirmação genética.</w:t>
      </w:r>
    </w:p>
    <w:p>
      <w:pPr>
        <w:numPr>
          <w:ilvl w:val="0"/>
          <w:numId w:val="1"/>
        </w:numPr>
      </w:pPr>
      <w:r>
        <w:rPr/>
        <w:t xml:space="preserve">Suporte agressivo da coagulação: plaquetas &gt; 30.000 a 50.000/mm³, fibrinogênio &gt; 100 a 150 mg/dL (crioprecipitado), plasma.</w:t>
      </w:r>
    </w:p>
    <w:p>
      <w:pPr>
        <w:numPr>
          <w:ilvl w:val="0"/>
          <w:numId w:val="1"/>
        </w:numPr>
      </w:pPr>
      <w:r>
        <w:rPr/>
        <w:t xml:space="preserve">Tratamento de baixo/intermediário risco: </w:t>
      </w:r>
      <w:r>
        <w:rPr>
          <w:b/>
          <w:bCs/>
        </w:rPr>
        <w:t xml:space="preserve">ATRA + trióxido de arsênio</w:t>
      </w:r>
      <w:r>
        <w:rPr/>
        <w:t xml:space="preserve"> (sem quimioterapia); alto risco (leucócitos &gt; 10.000/mm³): ATRA + quimioterapia (antraciclina) ou ATRA + arsênio + citorredução.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Síndrome de diferenciação:</w:t>
      </w:r>
      <w:r>
        <w:rPr/>
        <w:t xml:space="preserve"> febre, dispneia, infiltrado pulmonar, derrame pleural, ganho de peso, hipotensão e lesão renal → </w:t>
      </w:r>
      <w:r>
        <w:rPr>
          <w:b/>
          <w:bCs/>
        </w:rPr>
        <w:t xml:space="preserve">dexametasona 10 mg EV de 12/12 h</w:t>
      </w:r>
      <w:r>
        <w:rPr/>
        <w:t xml:space="preserve"> e, se grave, suspensão temporária do ATRA.</w:t>
      </w:r>
    </w:p>
    <w:p>
      <w:pPr>
        <w:numPr>
          <w:ilvl w:val="0"/>
          <w:numId w:val="1"/>
        </w:numPr>
      </w:pPr>
      <w:r>
        <w:rPr/>
        <w:t xml:space="preserve">Com o tratamento atual, a LPA é a leucemia aguda de </w:t>
      </w:r>
      <w:r>
        <w:rPr>
          <w:b/>
          <w:bCs/>
        </w:rPr>
        <w:t xml:space="preserve">maior chance de cura</w:t>
      </w:r>
      <w:r>
        <w:rPr/>
        <w:t xml:space="preserve"> (&gt; 90%).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Paciente com leucemia aguda + sangramento + </w:t>
            </w:r>
            <w:r>
              <w:rPr>
                <w:b/>
                <w:bCs/>
                <w:sz w:val="16"/>
                <w:szCs w:val="16"/>
              </w:rPr>
              <w:t xml:space="preserve">fibrinogênio baixo</w:t>
            </w:r>
            <w:r>
              <w:rPr>
                <w:sz w:val="16"/>
                <w:szCs w:val="16"/>
              </w:rPr>
              <w:t xml:space="preserve"> e TP/TTPa alargados: pense em </w:t>
            </w:r>
            <w:r>
              <w:rPr>
                <w:b/>
                <w:bCs/>
                <w:sz w:val="16"/>
                <w:szCs w:val="16"/>
              </w:rPr>
              <w:t xml:space="preserve">LPA</w:t>
            </w:r>
            <w:r>
              <w:rPr>
                <w:sz w:val="16"/>
                <w:szCs w:val="16"/>
              </w:rPr>
              <w:t xml:space="preserve"> e comece o </w:t>
            </w:r>
            <w:r>
              <w:rPr>
                <w:b/>
                <w:bCs/>
                <w:sz w:val="16"/>
                <w:szCs w:val="16"/>
              </w:rPr>
              <w:t xml:space="preserve">ATRA imediatamente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/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Emergências Onco-hematológicas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LISE TUMORAL, LEUCOSTASE E NEUTROPENIA FEBRIL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Emergências Onco-hematológicas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LISE TUMORAL, LEUCOSTASE E NEUTROPENIA FEBRIL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Síndrome de lise tumoral (SLT)</w:t>
      </w:r>
    </w:p>
    <w:p>
      <w:r>
        <w:rPr/>
        <w:t xml:space="preserve">A destruição rápida de muitas células tumorais (espontânea ou após a quimioterapia) libera </w:t>
      </w:r>
      <w:r>
        <w:rPr>
          <w:b/>
          <w:bCs/>
        </w:rPr>
        <w:t xml:space="preserve">potássio, fósforo e ácidos nucleicos</w:t>
      </w:r>
      <w:r>
        <w:rPr/>
        <w:t xml:space="preserve"> (que viram ácido úrico). O fósforo se liga ao cálcio e causa hipocalcemia. Cristais de ácido úrico e de fosfato de cálcio lesam o rim.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Maior risco:</w:t>
      </w:r>
      <w:r>
        <w:rPr/>
        <w:t xml:space="preserve"> linfoma de </w:t>
      </w:r>
      <w:r>
        <w:rPr>
          <w:b/>
          <w:bCs/>
        </w:rPr>
        <w:t xml:space="preserve">Burkitt</w:t>
      </w:r>
      <w:r>
        <w:rPr/>
        <w:t xml:space="preserve">, </w:t>
      </w:r>
      <w:r>
        <w:rPr>
          <w:b/>
          <w:bCs/>
        </w:rPr>
        <w:t xml:space="preserve">LLA</w:t>
      </w:r>
      <w:r>
        <w:rPr/>
        <w:t xml:space="preserve"> e LMA com leucometria alta, tumores volumosos, LDH alta e doença renal prévia.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7</w:t>
      </w:r>
      <w:r>
        <w:rPr>
          <w:color w:val="921827"/>
          <w:sz w:val="18"/>
          <w:szCs w:val="18"/>
        </w:rPr>
        <w:t xml:space="preserve"> – Critérios de Cairo-Bishop para síndrome de lise tumoral</w:t>
      </w:r>
    </w:p>
    <w:tbl>
      <w:tblPr>
        <w:tblW w:w="9900" w:type="dxa"/>
        <w:tblLayout w:type="fixed"/>
      </w:tblPr>
      <w:tblGrid>
        <w:gridCol w:w="5700"/>
        <w:gridCol w:w="4200"/>
      </w:tblGrid>
      <w:tr>
        <w:trPr>
          <w:tblHeader/>
        </w:trPr>
        <w:tc>
          <w:tcPr>
            <w:tcW w:w="5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Lise tumoral laboratorial (≥ 2 critérios, de 3 dias antes a 7 dias após a quimioterapia)</w:t>
            </w:r>
          </w:p>
        </w:tc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Lise tumoral clínica (laboratorial + ≥ 1)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Ácido úrico ≥ 8 mg/dL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Creatinina ≥ 1,5 vez o limite superior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Potássio ≥ 6 mEq/L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Arritmia cardíaca ou morte súbita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Fósforo ≥ 4,5 mg/dL (adulto) ou ≥ 6,5 mg/dL (criança)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Convulsão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Cálcio ≤ 7 mg/dL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(ou variação de 25% em relação ao basal)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Cairo e Bishop (ref. 7).</w:t>
      </w:r>
    </w:p>
    <w:p>
      <w:pPr>
        <w:pStyle w:val="Ttulo5"/>
      </w:pPr>
      <w:r>
        <w:rPr/>
        <w:t xml:space="preserve">Prevenção e tratamento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Hidratação vigorosa</w:t>
      </w:r>
      <w:r>
        <w:rPr/>
        <w:t xml:space="preserve"> (2 a 3 L/m²/dia), buscando bom débito urinário; não é mais recomendado alcalinizar a urina.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Alopurinol</w:t>
      </w:r>
      <w:r>
        <w:rPr/>
        <w:t xml:space="preserve"> (impede a formação de ácido úrico) no risco intermediário; </w:t>
      </w:r>
      <w:r>
        <w:rPr>
          <w:b/>
          <w:bCs/>
        </w:rPr>
        <w:t xml:space="preserve">rasburicase</w:t>
      </w:r>
      <w:r>
        <w:rPr/>
        <w:t xml:space="preserve"> (degrada o ácido úrico já formado) no alto risco ou na SLT estabelecida — </w:t>
      </w:r>
      <w:r>
        <w:rPr>
          <w:b/>
          <w:bCs/>
        </w:rPr>
        <w:t xml:space="preserve">contraindicada na deficiência de G6PD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Tratar a hipercalemia (gluconato de cálcio, insulina com glicose, resinas), evitar repor cálcio na hipocalcemia assintomática (precipita fosfato de cálcio) e indicar </w:t>
      </w:r>
      <w:r>
        <w:rPr>
          <w:b/>
          <w:bCs/>
        </w:rPr>
        <w:t xml:space="preserve">diálise</w:t>
      </w:r>
      <w:r>
        <w:rPr/>
        <w:t xml:space="preserve"> se refratária.</w:t>
      </w:r>
    </w:p>
    <w:p>
      <w:pPr>
        <w:pStyle w:val="Ttulo3"/>
      </w:pPr>
      <w:r>
        <w:rPr/>
        <w:t xml:space="preserve">Hiperleucocitose e leucostase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Hiperleucocitose:</w:t>
      </w:r>
      <w:r>
        <w:rPr/>
        <w:t xml:space="preserve"> leucócitos (blastos) &gt; 100.000/mm³.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Leucostase:</w:t>
      </w:r>
      <w:r>
        <w:rPr/>
        <w:t xml:space="preserve"> blastos grandes e pouco deformáveis entopem a microcirculação → </w:t>
      </w:r>
      <w:r>
        <w:rPr>
          <w:b/>
          <w:bCs/>
        </w:rPr>
        <w:t xml:space="preserve">insuficiência respiratória</w:t>
      </w:r>
      <w:r>
        <w:rPr/>
        <w:t xml:space="preserve"> (hipoxemia, infiltrado) e </w:t>
      </w:r>
      <w:r>
        <w:rPr>
          <w:b/>
          <w:bCs/>
        </w:rPr>
        <w:t xml:space="preserve">sintomas neurológicos</w:t>
      </w:r>
      <w:r>
        <w:rPr/>
        <w:t xml:space="preserve"> (confusão, cefaleia, alteração visual, AVC). Mais comum na LMA.</w:t>
      </w:r>
    </w:p>
    <w:p>
      <w:pPr>
        <w:numPr>
          <w:ilvl w:val="0"/>
          <w:numId w:val="1"/>
        </w:numPr>
      </w:pPr>
      <w:r>
        <w:rPr/>
        <w:t xml:space="preserve">Conduta: iniciar a </w:t>
      </w:r>
      <w:r>
        <w:rPr>
          <w:b/>
          <w:bCs/>
        </w:rPr>
        <w:t xml:space="preserve">quimioterapia</w:t>
      </w:r>
      <w:r>
        <w:rPr/>
        <w:t xml:space="preserve"> o quanto antes; </w:t>
      </w:r>
      <w:r>
        <w:rPr>
          <w:b/>
          <w:bCs/>
        </w:rPr>
        <w:t xml:space="preserve">hidroxiureia</w:t>
      </w:r>
      <w:r>
        <w:rPr/>
        <w:t xml:space="preserve"> para citorredução; leucaférese em casos selecionados; prevenir lise tumoral.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Evite transfundir hemácias</w:t>
      </w:r>
      <w:r>
        <w:rPr/>
        <w:t xml:space="preserve"> sem necessidade (aumenta a viscosidade); plaquetas podem ser transfundidas.</w:t>
      </w:r>
    </w:p>
    <w:p>
      <w:pPr>
        <w:numPr>
          <w:ilvl w:val="0"/>
          <w:numId w:val="1"/>
        </w:numPr>
      </w:pPr>
      <w:r>
        <w:rPr/>
        <w:t xml:space="preserve">Cuidado: a gasometria pode mostrar </w:t>
      </w:r>
      <w:r>
        <w:rPr>
          <w:b/>
          <w:bCs/>
        </w:rPr>
        <w:t xml:space="preserve">pseudo-hipoxemia</w:t>
      </w:r>
      <w:r>
        <w:rPr/>
        <w:t xml:space="preserve"> (os blastos consomem O₂ no tubo) e o potássio pode vir falsamente alto.</w:t>
      </w:r>
    </w:p>
    <w:p>
      <w:pPr>
        <w:pStyle w:val="Ttulo3"/>
      </w:pPr>
      <w:r>
        <w:rPr/>
        <w:t xml:space="preserve">Neutropenia febril</w:t>
      </w:r>
    </w:p>
    <w:p>
      <w:r>
        <w:rPr/>
        <w:t xml:space="preserve">É a emergência mais comum do paciente em quimioterapia. </w:t>
      </w:r>
      <w:r>
        <w:rPr>
          <w:b/>
          <w:bCs/>
        </w:rPr>
        <w:t xml:space="preserve">Sem neutrófilos não há pus nem sinais clássicos</w:t>
      </w:r>
      <w:r>
        <w:rPr/>
        <w:t xml:space="preserve">: a febre pode ser o único sinal de uma infecção grave.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8</w:t>
      </w:r>
      <w:r>
        <w:rPr>
          <w:color w:val="921827"/>
          <w:sz w:val="18"/>
          <w:szCs w:val="18"/>
        </w:rPr>
        <w:t xml:space="preserve"> – Definição de neutropenia febril</w:t>
      </w:r>
    </w:p>
    <w:tbl>
      <w:tblPr>
        <w:tblW w:w="9900" w:type="dxa"/>
        <w:tblLayout w:type="fixed"/>
      </w:tblPr>
      <w:tblGrid>
        <w:gridCol w:w="2500"/>
        <w:gridCol w:w="7400"/>
      </w:tblGrid>
      <w:tr>
        <w:trPr>
          <w:tblHeader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Febre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Temperatura oral </w:t>
            </w:r>
            <w:r>
              <w:rPr>
                <w:b/>
                <w:bCs/>
                <w:sz w:val="18"/>
                <w:szCs w:val="18"/>
              </w:rPr>
              <w:t xml:space="preserve">≥ 38,3 °C</w:t>
            </w:r>
            <w:r>
              <w:rPr>
                <w:sz w:val="18"/>
                <w:szCs w:val="18"/>
              </w:rPr>
              <w:t xml:space="preserve"> em uma medida </w:t>
            </w:r>
            <w:r>
              <w:rPr>
                <w:b/>
                <w:bCs/>
                <w:sz w:val="18"/>
                <w:szCs w:val="18"/>
              </w:rPr>
              <w:t xml:space="preserve">ou ≥ 38,0 °C</w:t>
            </w:r>
            <w:r>
              <w:rPr>
                <w:sz w:val="18"/>
                <w:szCs w:val="18"/>
              </w:rPr>
              <w:t xml:space="preserve"> mantida por 1 hora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Neutropenia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Neutrófilos </w:t>
            </w:r>
            <w:r>
              <w:rPr>
                <w:b/>
                <w:bCs/>
                <w:sz w:val="18"/>
                <w:szCs w:val="18"/>
              </w:rPr>
              <w:t xml:space="preserve">&lt; 500/mm³</w:t>
            </w:r>
            <w:r>
              <w:rPr>
                <w:sz w:val="18"/>
                <w:szCs w:val="18"/>
              </w:rPr>
              <w:t xml:space="preserve"> ou &lt; 1.000/mm³ com previsão de queda para &lt; 500/mm³ em 48 horas</w:t>
            </w:r>
          </w:p>
        </w:tc>
      </w:tr>
      <w:tr>
        <w:trPr>
          <w:cantSplit/>
        </w:trPr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Neutropenia profunda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Neutrófilos &lt; 100/mm³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IDSA 2010 (ref. 9); ASCO/IDSA 2018 (ref. 8).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Antibiótico em até 60 minutos</w:t>
      </w:r>
      <w:r>
        <w:rPr/>
        <w:t xml:space="preserve">, depois de colher </w:t>
      </w:r>
      <w:r>
        <w:rPr>
          <w:b/>
          <w:bCs/>
        </w:rPr>
        <w:t xml:space="preserve">hemoculturas</w:t>
      </w:r>
      <w:r>
        <w:rPr/>
        <w:t xml:space="preserve"> (periférica e do cateter), sem esperar resultados.</w:t>
      </w:r>
    </w:p>
    <w:p>
      <w:pPr>
        <w:numPr>
          <w:ilvl w:val="0"/>
          <w:numId w:val="1"/>
        </w:numPr>
      </w:pPr>
      <w:r>
        <w:rPr/>
        <w:t xml:space="preserve">Escolha: </w:t>
      </w:r>
      <w:r>
        <w:rPr>
          <w:b/>
          <w:bCs/>
        </w:rPr>
        <w:t xml:space="preserve">β-lactâmico com ação antipseudomonas</w:t>
      </w:r>
      <w:r>
        <w:rPr/>
        <w:t xml:space="preserve"> em monoterapia: </w:t>
      </w:r>
      <w:r>
        <w:rPr>
          <w:b/>
          <w:bCs/>
        </w:rPr>
        <w:t xml:space="preserve">cefepima</w:t>
      </w:r>
      <w:r>
        <w:rPr/>
        <w:t xml:space="preserve">, </w:t>
      </w:r>
      <w:r>
        <w:rPr>
          <w:b/>
          <w:bCs/>
        </w:rPr>
        <w:t xml:space="preserve">piperacilina-tazobactam</w:t>
      </w:r>
      <w:r>
        <w:rPr/>
        <w:t xml:space="preserve"> ou carbapenêmico (meropenem) se risco de germe resistente.</w:t>
      </w:r>
    </w:p>
    <w:p>
      <w:pPr>
        <w:numPr>
          <w:ilvl w:val="0"/>
          <w:numId w:val="1"/>
        </w:numPr>
      </w:pPr>
      <w:r>
        <w:rPr/>
        <w:t xml:space="preserve">Acrescentar </w:t>
      </w:r>
      <w:r>
        <w:rPr>
          <w:b/>
          <w:bCs/>
        </w:rPr>
        <w:t xml:space="preserve">vancomicina</w:t>
      </w:r>
      <w:r>
        <w:rPr/>
        <w:t xml:space="preserve"> se instabilidade hemodinâmica, infecção de cateter ou de pele, pneumonia, mucosite grave ou colonização por MRSA.</w:t>
      </w:r>
    </w:p>
    <w:p>
      <w:pPr>
        <w:numPr>
          <w:ilvl w:val="0"/>
          <w:numId w:val="1"/>
        </w:numPr>
      </w:pPr>
      <w:r>
        <w:rPr/>
        <w:t xml:space="preserve">Estratificar risco (escore </w:t>
      </w:r>
      <w:r>
        <w:rPr>
          <w:b/>
          <w:bCs/>
        </w:rPr>
        <w:t xml:space="preserve">MASCC</w:t>
      </w:r>
      <w:r>
        <w:rPr/>
        <w:t xml:space="preserve">: ≥ 21 = baixo risco, pode ser tratado por via oral/ambulatorial em casos selecionados).</w:t>
      </w:r>
    </w:p>
    <w:p>
      <w:pPr>
        <w:numPr>
          <w:ilvl w:val="0"/>
          <w:numId w:val="1"/>
        </w:numPr>
      </w:pPr>
      <w:r>
        <w:rPr/>
        <w:t xml:space="preserve">Febre persistente após 4 a 7 dias: investigar </w:t>
      </w:r>
      <w:r>
        <w:rPr>
          <w:b/>
          <w:bCs/>
        </w:rPr>
        <w:t xml:space="preserve">fungos</w:t>
      </w:r>
      <w:r>
        <w:rPr/>
        <w:t xml:space="preserve"> (Aspergillus, Candida) e considerar antifúngico.</w:t>
      </w:r>
    </w:p>
    <w:p>
      <w:pPr>
        <w:numPr>
          <w:ilvl w:val="0"/>
          <w:numId w:val="1"/>
        </w:numPr>
      </w:pPr>
      <w:r>
        <w:rPr/>
        <w:t xml:space="preserve">Na criança, a mesma lógica: neutropenia febril é emergência e o antibiótico não espera.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Ponto-chave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Na neutropenia febril, o tempo até o antibiótico salva vidas: </w:t>
            </w:r>
            <w:r>
              <w:rPr>
                <w:b/>
                <w:bCs/>
                <w:sz w:val="16"/>
                <w:szCs w:val="16"/>
              </w:rPr>
              <w:t xml:space="preserve">colha culturas e dê o β-lactâmico antipseudomonas na primeira hora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p/>
    <w:p>
      <w:pPr>
        <w:pStyle w:val="Ttulo3"/>
      </w:pPr>
      <w:r>
        <w:rPr/>
        <w:t xml:space="preserve">Outras emergências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CIVD:</w:t>
      </w:r>
      <w:r>
        <w:rPr/>
        <w:t xml:space="preserve"> LPA e LMA monocítica (ver capítulo anterior).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Síndrome da veia cava superior:</w:t>
      </w:r>
      <w:r>
        <w:rPr/>
        <w:t xml:space="preserve"> massa mediastinal (LLA-T, linfoma linfoblástico, linfoma primário do mediastino, Hodgkin): edema de face e membros superiores, circulação colateral, dispneia. Cuidado com sedação/anestesia (colapso de via aérea).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Compressão medular</w:t>
      </w:r>
      <w:r>
        <w:rPr/>
        <w:t xml:space="preserve"> e </w:t>
      </w:r>
      <w:r>
        <w:rPr>
          <w:b/>
          <w:bCs/>
        </w:rPr>
        <w:t xml:space="preserve">hipercalcemia</w:t>
      </w:r>
      <w:r>
        <w:rPr/>
        <w:t xml:space="preserve"> (mais em linfomas e mieloma).</w:t>
      </w:r>
    </w:p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Linfadenopatia e Linfoma de Hodgkin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QUANDO BIOPSIAR, DIAGNÓSTICO E ESTADIAMENTO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Linfadenopatia e Linfoma de Hodgkin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QUANDO BIOPSIAR, DIAGNÓSTICO E ESTADIAMENTO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Abordagem da linfadenopatia</w:t>
      </w:r>
    </w:p>
    <w:p>
      <w:r>
        <w:rPr/>
        <w:t xml:space="preserve">A maioria das linfadenopatias é </w:t>
      </w:r>
      <w:r>
        <w:rPr>
          <w:b/>
          <w:bCs/>
        </w:rPr>
        <w:t xml:space="preserve">reacional</w:t>
      </w:r>
      <w:r>
        <w:rPr/>
        <w:t xml:space="preserve"> (infecções), principalmente em crianças. O desafio é reconhecer quando o linfonodo é suspeito e precisa de </w:t>
      </w:r>
      <w:r>
        <w:rPr>
          <w:b/>
          <w:bCs/>
        </w:rPr>
        <w:t xml:space="preserve">biópsia</w:t>
      </w:r>
      <w:r>
        <w:rPr/>
        <w:t xml:space="preserve">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9</w:t>
      </w:r>
      <w:r>
        <w:rPr>
          <w:color w:val="921827"/>
          <w:sz w:val="18"/>
          <w:szCs w:val="18"/>
        </w:rPr>
        <w:t xml:space="preserve"> – Linfonodo provavelmente benigno × suspeito</w:t>
      </w:r>
    </w:p>
    <w:tbl>
      <w:tblPr>
        <w:tblW w:w="9900" w:type="dxa"/>
        <w:tblLayout w:type="fixed"/>
      </w:tblPr>
      <w:tblGrid>
        <w:gridCol w:w="2200"/>
        <w:gridCol w:w="3600"/>
        <w:gridCol w:w="4100"/>
      </w:tblGrid>
      <w:tr>
        <w:trPr>
          <w:tblHeader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Provavelmente benigno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Suspeito de neoplasia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Tamanho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&lt; 1 cm (&lt; 1,5 cm inguinal)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&gt; 2 cm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Consistência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Fibroelástico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Endurecido</w:t>
            </w:r>
            <w:r>
              <w:rPr>
                <w:sz w:val="18"/>
                <w:szCs w:val="18"/>
              </w:rPr>
              <w:t xml:space="preserve">, pétreo ou borrachoso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Mobilidade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Móvel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Aderido</w:t>
            </w:r>
            <w:r>
              <w:rPr>
                <w:sz w:val="18"/>
                <w:szCs w:val="18"/>
              </w:rPr>
              <w:t xml:space="preserve"> a planos profundos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Doloroso (inflamação aguda)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Indolor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Cervical anterior, após infecção de vias aéreas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Supraclavicular</w:t>
            </w:r>
            <w:r>
              <w:rPr>
                <w:sz w:val="18"/>
                <w:szCs w:val="18"/>
              </w:rPr>
              <w:t xml:space="preserve"> (sempre suspeito), epitroclear, generalizado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Tempo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Regride em 2 a 4 semanas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Persiste &gt; 4 a 6 semanas</w:t>
            </w:r>
            <w:r>
              <w:rPr>
                <w:sz w:val="18"/>
                <w:szCs w:val="18"/>
              </w:rPr>
              <w:t xml:space="preserve"> ou cresce</w:t>
            </w:r>
          </w:p>
        </w:tc>
      </w:tr>
      <w:tr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Contexto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Criança, quadro infeccioso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Idade &gt; 40 anos, </w:t>
            </w:r>
            <w:r>
              <w:rPr>
                <w:b/>
                <w:bCs/>
                <w:sz w:val="18"/>
                <w:szCs w:val="18"/>
              </w:rPr>
              <w:t xml:space="preserve">sintomas B</w:t>
            </w:r>
            <w:r>
              <w:rPr>
                <w:sz w:val="18"/>
                <w:szCs w:val="18"/>
              </w:rPr>
              <w:t xml:space="preserve">, citopenias, hepatoesplenomegalia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12).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Supraclavicular esquerdo</w:t>
      </w:r>
      <w:r>
        <w:rPr/>
        <w:t xml:space="preserve"> (nódulo de Virchow): neoplasia abdominal; </w:t>
      </w:r>
      <w:r>
        <w:rPr>
          <w:b/>
          <w:bCs/>
        </w:rPr>
        <w:t xml:space="preserve">direito</w:t>
      </w:r>
      <w:r>
        <w:rPr/>
        <w:t xml:space="preserve">: tórax (pulmão, esôfago, mediastino).</w:t>
      </w:r>
    </w:p>
    <w:p>
      <w:pPr>
        <w:numPr>
          <w:ilvl w:val="0"/>
          <w:numId w:val="1"/>
        </w:numPr>
      </w:pPr>
      <w:r>
        <w:rPr/>
        <w:t xml:space="preserve">Para diagnosticar linfoma, faça </w:t>
      </w:r>
      <w:r>
        <w:rPr>
          <w:b/>
          <w:bCs/>
        </w:rPr>
        <w:t xml:space="preserve">biópsia excisional</w:t>
      </w:r>
      <w:r>
        <w:rPr/>
        <w:t xml:space="preserve"> (linfonodo inteiro): a arquitetura é essencial. A </w:t>
      </w:r>
      <w:r>
        <w:rPr>
          <w:b/>
          <w:bCs/>
        </w:rPr>
        <w:t xml:space="preserve">PAAF não basta</w:t>
      </w:r>
      <w:r>
        <w:rPr/>
        <w:t xml:space="preserve"> para diagnosticar ou classificar linfoma.</w:t>
      </w:r>
    </w:p>
    <w:p>
      <w:pPr>
        <w:numPr>
          <w:ilvl w:val="0"/>
          <w:numId w:val="1"/>
        </w:numPr>
      </w:pPr>
      <w:r>
        <w:rPr/>
        <w:t xml:space="preserve">Evite corticoide antes da biópsia: pode reduzir o linfonodo e mascarar o diagnóstico.</w:t>
      </w:r>
    </w:p>
    <w:p>
      <w:pPr>
        <w:jc w:val="center"/>
      </w:pPr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24_fluxo_linfonod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6"/>
          <w:szCs w:val="16"/>
        </w:rPr>
        <w:t xml:space="preserve">Figura 2</w:t>
      </w:r>
      <w:r>
        <w:rPr>
          <w:color w:val="921827"/>
          <w:sz w:val="16"/>
          <w:szCs w:val="16"/>
        </w:rPr>
        <w:t xml:space="preserve">: Abordagem da linfonodomegalia</w:t>
      </w:r>
    </w:p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Fluxograma MedSum elaborado a partir de Harrison (ref. 12) e Cheson et al., Lugano (ref. 6).</w:t>
      </w:r>
    </w:p>
    <w:p>
      <w:pPr>
        <w:pStyle w:val="Ttulo3"/>
      </w:pPr>
      <w:r>
        <w:rPr/>
        <w:t xml:space="preserve">Linfoma de Hodgkin (LH)</w:t>
      </w:r>
    </w:p>
    <w:p>
      <w:pPr>
        <w:pStyle w:val="Ttulo4"/>
      </w:pPr>
      <w:r>
        <w:rPr/>
        <w:t xml:space="preserve">Definição e epidemiologia</w:t>
      </w:r>
    </w:p>
    <w:p>
      <w:pPr>
        <w:numPr>
          <w:ilvl w:val="0"/>
          <w:numId w:val="1"/>
        </w:numPr>
      </w:pPr>
      <w:r>
        <w:rPr/>
        <w:t xml:space="preserve">Neoplasia de </w:t>
      </w:r>
      <w:r>
        <w:rPr>
          <w:b/>
          <w:bCs/>
        </w:rPr>
        <w:t xml:space="preserve">linfócitos B</w:t>
      </w:r>
      <w:r>
        <w:rPr/>
        <w:t xml:space="preserve"> do centro germinativo em que poucas células malignas, as </w:t>
      </w:r>
      <w:r>
        <w:rPr>
          <w:b/>
          <w:bCs/>
        </w:rPr>
        <w:t xml:space="preserve">células de Reed-Sternberg</w:t>
      </w:r>
      <w:r>
        <w:rPr/>
        <w:t xml:space="preserve">, ficam cercadas por muitas células inflamatórias reacionais.</w:t>
      </w:r>
    </w:p>
    <w:p>
      <w:pPr>
        <w:numPr>
          <w:ilvl w:val="0"/>
          <w:numId w:val="1"/>
        </w:numPr>
      </w:pPr>
      <w:r>
        <w:rPr/>
        <w:t xml:space="preserve">Distribuição </w:t>
      </w:r>
      <w:r>
        <w:rPr>
          <w:b/>
          <w:bCs/>
        </w:rPr>
        <w:t xml:space="preserve">bimodal</w:t>
      </w:r>
      <w:r>
        <w:rPr/>
        <w:t xml:space="preserve">: pico em </w:t>
      </w:r>
      <w:r>
        <w:rPr>
          <w:b/>
          <w:bCs/>
        </w:rPr>
        <w:t xml:space="preserve">adultos jovens (15 a 35 anos)</w:t>
      </w:r>
      <w:r>
        <w:rPr/>
        <w:t xml:space="preserve"> e outro após os 55 anos.</w:t>
      </w:r>
    </w:p>
    <w:p>
      <w:pPr>
        <w:numPr>
          <w:ilvl w:val="0"/>
          <w:numId w:val="1"/>
        </w:numPr>
      </w:pPr>
      <w:r>
        <w:rPr/>
        <w:t xml:space="preserve">Associação com </w:t>
      </w:r>
      <w:r>
        <w:rPr>
          <w:b/>
          <w:bCs/>
        </w:rPr>
        <w:t xml:space="preserve">EBV</w:t>
      </w:r>
      <w:r>
        <w:rPr/>
        <w:t xml:space="preserve"> (sobretudo celularidade mista) e com HIV.</w:t>
      </w:r>
    </w:p>
    <w:p>
      <w:pPr>
        <w:pStyle w:val="Ttulo4"/>
      </w:pPr>
      <w:r>
        <w:rPr/>
        <w:t xml:space="preserve">Classificação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10</w:t>
      </w:r>
      <w:r>
        <w:rPr>
          <w:color w:val="921827"/>
          <w:sz w:val="18"/>
          <w:szCs w:val="18"/>
        </w:rPr>
        <w:t xml:space="preserve"> – Subtipos do linfoma de Hodgkin</w:t>
      </w:r>
    </w:p>
    <w:tbl>
      <w:tblPr>
        <w:tblW w:w="9900" w:type="dxa"/>
        <w:tblLayout w:type="fixed"/>
      </w:tblPr>
      <w:tblGrid>
        <w:gridCol w:w="3200"/>
        <w:gridCol w:w="6700"/>
      </w:tblGrid>
      <w:tr>
        <w:trPr>
          <w:tblHeader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Subtipo</w:t>
            </w:r>
          </w:p>
        </w:tc>
        <w:tc>
          <w:tcPr>
            <w:tcW w:w="6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LH clássico (cerca de 95%)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Células de Reed-Sternberg </w:t>
            </w:r>
            <w:r>
              <w:rPr>
                <w:b/>
                <w:bCs/>
                <w:sz w:val="18"/>
                <w:szCs w:val="18"/>
              </w:rPr>
              <w:t xml:space="preserve">CD15+ e CD30+</w:t>
            </w:r>
            <w:r>
              <w:rPr>
                <w:sz w:val="18"/>
                <w:szCs w:val="18"/>
              </w:rPr>
              <w:t xml:space="preserve">, CD45−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• Esclerose nodular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 mais comum</w:t>
            </w:r>
            <w:r>
              <w:rPr>
                <w:sz w:val="18"/>
                <w:szCs w:val="18"/>
              </w:rPr>
              <w:t xml:space="preserve">; mulheres jovens, </w:t>
            </w:r>
            <w:r>
              <w:rPr>
                <w:b/>
                <w:bCs/>
                <w:sz w:val="18"/>
                <w:szCs w:val="18"/>
              </w:rPr>
              <w:t xml:space="preserve">massa mediastinal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• Celularidade mista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Associado ao </w:t>
            </w:r>
            <w:r>
              <w:rPr>
                <w:b/>
                <w:bCs/>
                <w:sz w:val="18"/>
                <w:szCs w:val="18"/>
              </w:rPr>
              <w:t xml:space="preserve">EBV</w:t>
            </w:r>
            <w:r>
              <w:rPr>
                <w:sz w:val="18"/>
                <w:szCs w:val="18"/>
              </w:rPr>
              <w:t xml:space="preserve"> e ao HIV; mais sintomas B e doença avançada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• Rico em linfócitos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Bom prognóstico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• Depleção linfocitária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Raro, idosos e HIV; pior prognóstico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LH predominância linfocitária nodular</w:t>
            </w:r>
          </w:p>
        </w:tc>
        <w:tc>
          <w:tcPr>
            <w:tcW w:w="6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Células "em pipoca" </w:t>
            </w:r>
            <w:r>
              <w:rPr>
                <w:b/>
                <w:bCs/>
                <w:sz w:val="18"/>
                <w:szCs w:val="18"/>
              </w:rPr>
              <w:t xml:space="preserve">CD20+</w:t>
            </w:r>
            <w:r>
              <w:rPr>
                <w:sz w:val="18"/>
                <w:szCs w:val="18"/>
              </w:rPr>
              <w:t xml:space="preserve">, CD15− e CD30−; indolente (a OMS 2022 passou a chamá-lo também de linfoma B de predomínio linfocitário nodular)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OMS 2022 (ref. 2); Ansell (ref. 13).</w:t>
      </w:r>
    </w:p>
    <w:p>
      <w:pPr>
        <w:pStyle w:val="Ttulo4"/>
      </w:pPr>
      <w:r>
        <w:rPr/>
        <w:t xml:space="preserve">Quadro clínico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Linfonodomegalia indolor</w:t>
      </w:r>
      <w:r>
        <w:rPr/>
        <w:t xml:space="preserve">, geralmente </w:t>
      </w:r>
      <w:r>
        <w:rPr>
          <w:b/>
          <w:bCs/>
        </w:rPr>
        <w:t xml:space="preserve">cervical ou supraclavicular</w:t>
      </w:r>
      <w:r>
        <w:rPr/>
        <w:t xml:space="preserve">, que se espalha de forma </w:t>
      </w:r>
      <w:r>
        <w:rPr>
          <w:b/>
          <w:bCs/>
        </w:rPr>
        <w:t xml:space="preserve">contígua</w:t>
      </w:r>
      <w:r>
        <w:rPr/>
        <w:t xml:space="preserve"> (de uma cadeia para a vizinha), o que torna o estadiamento previsível.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Massa mediastinal</w:t>
      </w:r>
      <w:r>
        <w:rPr/>
        <w:t xml:space="preserve"> (tosse, dispneia, síndrome da veia cava superior).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Sintomas B:</w:t>
      </w:r>
      <w:r>
        <w:rPr/>
        <w:t xml:space="preserve"> febre &gt; 38 °C sem outra causa, </w:t>
      </w:r>
      <w:r>
        <w:rPr>
          <w:b/>
          <w:bCs/>
        </w:rPr>
        <w:t xml:space="preserve">sudorese noturna</w:t>
      </w:r>
      <w:r>
        <w:rPr/>
        <w:t xml:space="preserve"> intensa e </w:t>
      </w:r>
      <w:r>
        <w:rPr>
          <w:b/>
          <w:bCs/>
        </w:rPr>
        <w:t xml:space="preserve">perda de &gt; 10% do peso em 6 meses</w:t>
      </w:r>
      <w:r>
        <w:rPr/>
        <w:t xml:space="preserve">.</w:t>
      </w:r>
    </w:p>
    <w:p>
      <w:pPr>
        <w:numPr>
          <w:ilvl w:val="0"/>
          <w:numId w:val="1"/>
        </w:numPr>
      </w:pPr>
      <w:r>
        <w:rPr/>
        <w:t xml:space="preserve">Outros: </w:t>
      </w:r>
      <w:r>
        <w:rPr>
          <w:b/>
          <w:bCs/>
        </w:rPr>
        <w:t xml:space="preserve">prurido</w:t>
      </w:r>
      <w:r>
        <w:rPr/>
        <w:t xml:space="preserve"> generalizado, </w:t>
      </w:r>
      <w:r>
        <w:rPr>
          <w:b/>
          <w:bCs/>
        </w:rPr>
        <w:t xml:space="preserve">dor no linfonodo após ingerir álcool</w:t>
      </w:r>
      <w:r>
        <w:rPr/>
        <w:t xml:space="preserve"> (raro, mas típico), febre cíclica (Pel-Ebstein).</w:t>
      </w:r>
    </w:p>
    <w:p>
      <w:pPr>
        <w:pStyle w:val="Ttulo4"/>
      </w:pPr>
      <w:r>
        <w:rPr/>
        <w:t xml:space="preserve">Estadiamento (Lugano / Ann Arbor modificado)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11</w:t>
      </w:r>
      <w:r>
        <w:rPr>
          <w:color w:val="921827"/>
          <w:sz w:val="18"/>
          <w:szCs w:val="18"/>
        </w:rPr>
        <w:t xml:space="preserve"> – Estadiamento de Lugano (Hodgkin e não Hodgkin)</w:t>
      </w:r>
    </w:p>
    <w:tbl>
      <w:tblPr>
        <w:tblW w:w="9900" w:type="dxa"/>
        <w:tblLayout w:type="fixed"/>
      </w:tblPr>
      <w:tblGrid>
        <w:gridCol w:w="2600"/>
        <w:gridCol w:w="7300"/>
      </w:tblGrid>
      <w:tr>
        <w:trPr>
          <w:tblHeader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Estádio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Uma região linfonodal ou um único órgão extralinfático sem linfonodo (IE)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II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≥ 2 regiões linfonodais </w:t>
            </w:r>
            <w:r>
              <w:rPr>
                <w:b/>
                <w:bCs/>
                <w:sz w:val="18"/>
                <w:szCs w:val="18"/>
              </w:rPr>
              <w:t xml:space="preserve">do mesmo lado do diafragma</w:t>
            </w:r>
            <w:r>
              <w:rPr>
                <w:sz w:val="18"/>
                <w:szCs w:val="18"/>
              </w:rPr>
              <w:t xml:space="preserve"> (± extensão extranodal contígua: IIE)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III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Regiões linfonodais </w:t>
            </w:r>
            <w:r>
              <w:rPr>
                <w:b/>
                <w:bCs/>
                <w:sz w:val="18"/>
                <w:szCs w:val="18"/>
              </w:rPr>
              <w:t xml:space="preserve">dos dois lados do diafragma</w:t>
            </w:r>
            <w:r>
              <w:rPr>
                <w:sz w:val="18"/>
                <w:szCs w:val="18"/>
              </w:rPr>
              <w:t xml:space="preserve">, ou acima do diafragma + baço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IV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Acometimento </w:t>
            </w:r>
            <w:r>
              <w:rPr>
                <w:b/>
                <w:bCs/>
                <w:sz w:val="18"/>
                <w:szCs w:val="18"/>
              </w:rPr>
              <w:t xml:space="preserve">extralinfático disseminado</w:t>
            </w:r>
            <w:r>
              <w:rPr>
                <w:sz w:val="18"/>
                <w:szCs w:val="18"/>
              </w:rPr>
              <w:t xml:space="preserve"> (fígado, medula óssea, pulmão não contíguo)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/ B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Ausência (A) ou presença (B) de sintomas B (mantidos no Hodgkin)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Doença volumosa (bulky)</w:t>
            </w:r>
          </w:p>
        </w:tc>
        <w:tc>
          <w:tcPr>
            <w:tcW w:w="73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Massa ≥ 10 cm ou &gt; 1/3 do diâmetro torácico (Hodgkin)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Cheson et al., classificação de Lugano (ref. 6).</w:t>
      </w:r>
    </w:p>
    <w:p>
      <w:pPr>
        <w:numPr>
          <w:ilvl w:val="0"/>
          <w:numId w:val="1"/>
        </w:numPr>
      </w:pPr>
      <w:r>
        <w:rPr/>
        <w:t xml:space="preserve">Exames: </w:t>
      </w:r>
      <w:r>
        <w:rPr>
          <w:b/>
          <w:bCs/>
        </w:rPr>
        <w:t xml:space="preserve">PET-CT</w:t>
      </w:r>
      <w:r>
        <w:rPr/>
        <w:t xml:space="preserve"> (estadiamento e resposta), hemograma, VHS, LDH, albumina, função renal e hepática, HIV, HBV e HCV. Com PET-CT, a biópsia de medula não é necessária no Hodgkin.</w:t>
      </w:r>
    </w:p>
    <w:p>
      <w:pPr>
        <w:numPr>
          <w:ilvl w:val="0"/>
          <w:numId w:val="1"/>
        </w:numPr>
      </w:pPr>
      <w:r>
        <w:rPr/>
        <w:t xml:space="preserve">Na prática, agrupa-se em </w:t>
      </w:r>
      <w:r>
        <w:rPr>
          <w:b/>
          <w:bCs/>
        </w:rPr>
        <w:t xml:space="preserve">doença limitada</w:t>
      </w:r>
      <w:r>
        <w:rPr/>
        <w:t xml:space="preserve"> (I e II sem fatores desfavoráveis), </w:t>
      </w:r>
      <w:r>
        <w:rPr>
          <w:b/>
          <w:bCs/>
        </w:rPr>
        <w:t xml:space="preserve">limitada desfavorável</w:t>
      </w:r>
      <w:r>
        <w:rPr/>
        <w:t xml:space="preserve"> (bulky, VHS alta, muitos sítios) e </w:t>
      </w:r>
      <w:r>
        <w:rPr>
          <w:b/>
          <w:bCs/>
        </w:rPr>
        <w:t xml:space="preserve">avançada</w:t>
      </w:r>
      <w:r>
        <w:rPr/>
        <w:t xml:space="preserve"> (III e IV).</w:t>
      </w:r>
    </w:p>
    <w:p>
      <w:pPr>
        <w:pStyle w:val="Ttulo4"/>
      </w:pPr>
      <w:r>
        <w:rPr/>
        <w:t xml:space="preserve">Tratamento e prognóstico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ABVD</w:t>
      </w:r>
      <w:r>
        <w:rPr/>
        <w:t xml:space="preserve"> (doxorrubicina, bleomicina, vimblastina, dacarbazina) é o esquema base. Doença limitada: poucos ciclos ± radioterapia de campo envolvido, guiados pelo PET interino. Avançada: ABVD, </w:t>
      </w:r>
      <w:r>
        <w:rPr>
          <w:b/>
          <w:bCs/>
        </w:rPr>
        <w:t xml:space="preserve">brentuximabe-AVD</w:t>
      </w:r>
      <w:r>
        <w:rPr/>
        <w:t xml:space="preserve"> (anti-CD30) ou BEACOPP escalonado em centros selecionados.</w:t>
      </w:r>
    </w:p>
    <w:p>
      <w:pPr>
        <w:numPr>
          <w:ilvl w:val="0"/>
          <w:numId w:val="1"/>
        </w:numPr>
      </w:pPr>
      <w:r>
        <w:rPr/>
        <w:t xml:space="preserve">Recaída: quimioterapia de resgate + </w:t>
      </w:r>
      <w:r>
        <w:rPr>
          <w:b/>
          <w:bCs/>
        </w:rPr>
        <w:t xml:space="preserve">transplante autólogo</w:t>
      </w:r>
      <w:r>
        <w:rPr/>
        <w:t xml:space="preserve">; brentuximabe e </w:t>
      </w:r>
      <w:r>
        <w:rPr>
          <w:b/>
          <w:bCs/>
        </w:rPr>
        <w:t xml:space="preserve">anti-PD-1</w:t>
      </w:r>
      <w:r>
        <w:rPr/>
        <w:t xml:space="preserve"> (nivolumabe, pembrolizumabe).</w:t>
      </w:r>
    </w:p>
    <w:p>
      <w:pPr>
        <w:numPr>
          <w:ilvl w:val="0"/>
          <w:numId w:val="1"/>
        </w:numPr>
      </w:pPr>
      <w:r>
        <w:rPr/>
        <w:t xml:space="preserve">Cura de </w:t>
      </w:r>
      <w:r>
        <w:rPr>
          <w:b/>
          <w:bCs/>
        </w:rPr>
        <w:t xml:space="preserve">80 a 90%</w:t>
      </w:r>
      <w:r>
        <w:rPr/>
        <w:t xml:space="preserve"> no geral. Por isso importam os </w:t>
      </w:r>
      <w:r>
        <w:rPr>
          <w:b/>
          <w:bCs/>
        </w:rPr>
        <w:t xml:space="preserve">efeitos tardios</w:t>
      </w:r>
      <w:r>
        <w:rPr/>
        <w:t xml:space="preserve">: </w:t>
      </w:r>
      <w:r>
        <w:rPr>
          <w:b/>
          <w:bCs/>
        </w:rPr>
        <w:t xml:space="preserve">toxicidade pulmonar da bleomicina</w:t>
      </w:r>
      <w:r>
        <w:rPr/>
        <w:t xml:space="preserve">, </w:t>
      </w:r>
      <w:r>
        <w:rPr>
          <w:b/>
          <w:bCs/>
        </w:rPr>
        <w:t xml:space="preserve">cardiotoxicidade das antraciclinas</w:t>
      </w:r>
      <w:r>
        <w:rPr/>
        <w:t xml:space="preserve">, hipotireoidismo e </w:t>
      </w:r>
      <w:r>
        <w:rPr>
          <w:b/>
          <w:bCs/>
        </w:rPr>
        <w:t xml:space="preserve">segunda neoplasia</w:t>
      </w:r>
      <w:r>
        <w:rPr/>
        <w:t xml:space="preserve"> (mama em mulheres irradiadas no tórax) após radioterapia.</w:t>
      </w:r>
    </w:p>
    <w:p>
      <w:pPr>
        <w:spacing w:after="0" w:line="240" w:lineRule="auto"/>
      </w:pPr>
      <w:r>
        <w:br w:type="page"/>
      </w:r>
    </w:p>
    <w:p w14:paraId="14182F58" w14:textId="77777777" w:rsidR="002E369D" w:rsidRDefault="00A87142">
      <w:pPr>
        <w:spacing w:line="259" w:lineRule="auto"/>
        <w:jc w:val="left"/>
      </w:pPr>
      <w:r>
        <w:rPr>
          <w:noProof/>
          <w:color w:val="921827"/>
        </w:rPr>
        <w:lastRenderedPageBreak/>
        <mc:AlternateContent>
          <mc:Choice Requires="wps">
            <w:drawing>
              <wp:anchor distT="0" distB="0" distL="114300" distR="114300" simplePos="0" relativeHeight="251651635" behindDoc="0" locked="0" layoutInCell="1" allowOverlap="1" wp14:anchorId="3C298F33" wp14:editId="216760BC">
                <wp:simplePos x="0" y="0"/>
                <wp:positionH relativeFrom="margin">
                  <wp:posOffset>805180</wp:posOffset>
                </wp:positionH>
                <wp:positionV relativeFrom="margin">
                  <wp:posOffset>-271780</wp:posOffset>
                </wp:positionV>
                <wp:extent cx="4719320" cy="1134110"/>
                <wp:effectExtent l="0" t="0" r="5080" b="0"/>
                <wp:wrapTopAndBottom/>
                <wp:docPr id="51" name="Tit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1134110"/>
                        </a:xfrm>
                        <a:prstGeom prst="roundRect">
                          <a:avLst/>
                        </a:prstGeom>
                        <a:solidFill>
                          <a:srgbClr val="92182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59C9E" w14:textId="77777777" w:rsidR="002E369D" w:rsidRDefault="00A87142">
                            <w:pPr>
                              <w:pStyle w:val="Ttulo2"/>
                              <w:jc w:val="center"/>
                            </w:pPr>
                            <w:r>
                              <w:t>Linfomas Não Hodgkin</w:t>
                            </w:r>
                          </w:p>
                          <w:p w14:paraId="5776575A" w14:textId="77777777" w:rsidR="002E369D" w:rsidRDefault="00A87142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18"/>
                                <w:szCs w:val="18"/>
                              </w:rPr>
                              <w:t>INDOLENTES, AGRESSIVOS E MUITO AGRESSIVOS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298F33" id="Titulo 51" o:spid="_x0000_s1026" style="position:absolute;margin-left:63.4pt;margin-top:-21.4pt;width:371.6pt;height:89.3pt;z-index:251651635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" fillcolor="#921827" stroked="f">
                <v:textbox>
                  <w:txbxContent>
                    <w:p w14:paraId="67A59C9E" w14:textId="77777777" w:rsidR="002E369D" w:rsidRDefault="00000000">
                      <w:pPr>
                        <w:pStyle w:val="Ttulo2"/>
                        <w:jc w:val="center"/>
                      </w:pPr>
                      <w:r>
                        <w:t>Linfomas Não Hodgkin</w:t>
                      </w:r>
                    </w:p>
                    <w:p w14:paraId="5776575A" w14:textId="77777777" w:rsidR="002E369D" w:rsidRDefault="00000000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18"/>
                          <w:szCs w:val="18"/>
                        </w:rPr>
                        <w:t>INDOLENTES, AGRESSIVOS E MUITO AGRESSIVOS</w:t>
                      </w:r>
                    </w:p>
                  </w:txbxContent>
                </v:textbox>
                <w10:wrap type="topAndBottom" anchorx="margin" anchory="margin"/>
              </v:roundrect>
            </w:pict>
          </mc:Fallback>
        </mc:AlternateContent>
      </w:r>
    </w:p>
    <w:p>
      <w:pPr>
        <w:pStyle w:val="Ttulo3"/>
      </w:pPr>
      <w:r>
        <w:rPr/>
        <w:t xml:space="preserve">Linfomas não Hodgkin (LNH)</w:t>
      </w:r>
    </w:p>
    <w:p>
      <w:pPr>
        <w:pStyle w:val="Ttulo4"/>
      </w:pPr>
      <w:r>
        <w:rPr/>
        <w:t xml:space="preserve">Visão geral</w:t>
      </w:r>
    </w:p>
    <w:p>
      <w:r>
        <w:rPr/>
        <w:t xml:space="preserve">Os LNH são um grupo heterogêneo: cerca de </w:t>
      </w:r>
      <w:r>
        <w:rPr>
          <w:b/>
          <w:bCs/>
        </w:rPr>
        <w:t xml:space="preserve">85 a 90% são de células B</w:t>
      </w:r>
      <w:r>
        <w:rPr/>
        <w:t xml:space="preserve"> e o restante de células T ou NK. Ao contrário do Hodgkin, espalham-se de forma </w:t>
      </w:r>
      <w:r>
        <w:rPr>
          <w:b/>
          <w:bCs/>
        </w:rPr>
        <w:t xml:space="preserve">não contígua</w:t>
      </w:r>
      <w:r>
        <w:rPr/>
        <w:t xml:space="preserve">, acometem mais </w:t>
      </w:r>
      <w:r>
        <w:rPr>
          <w:b/>
          <w:bCs/>
        </w:rPr>
        <w:t xml:space="preserve">sítios extranodais</w:t>
      </w:r>
      <w:r>
        <w:rPr/>
        <w:t xml:space="preserve"> (trato gastrointestinal, pele, SNC, medula) e são mais comuns em idosos e imunossuprimidos.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12</w:t>
      </w:r>
      <w:r>
        <w:rPr>
          <w:color w:val="921827"/>
          <w:sz w:val="18"/>
          <w:szCs w:val="18"/>
        </w:rPr>
        <w:t xml:space="preserve"> – Comportamento dos LNH na prática</w:t>
      </w:r>
    </w:p>
    <w:tbl>
      <w:tblPr>
        <w:tblW w:w="9900" w:type="dxa"/>
        <w:tblLayout w:type="fixed"/>
      </w:tblPr>
      <w:tblGrid>
        <w:gridCol w:w="1800"/>
        <w:gridCol w:w="2600"/>
        <w:gridCol w:w="2700"/>
        <w:gridCol w:w="2800"/>
      </w:tblGrid>
      <w:tr>
        <w:trPr>
          <w:tblHeader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Ideia do tratamento</w:t>
            </w:r>
          </w:p>
        </w:tc>
      </w:tr>
      <w:tr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Indolentes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Evolução em anos; geralmente </w:t>
            </w:r>
            <w:r>
              <w:rPr>
                <w:b/>
                <w:bCs/>
                <w:sz w:val="18"/>
                <w:szCs w:val="18"/>
              </w:rPr>
              <w:t xml:space="preserve">incuráveis</w:t>
            </w:r>
            <w:r>
              <w:rPr>
                <w:sz w:val="18"/>
                <w:szCs w:val="18"/>
              </w:rPr>
              <w:t xml:space="preserve">, mas controláveis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Folicular, zona marginal/MALT, linfocítico (LLC)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Observação ("esperar e vigiar") se pouca doença; rituximabe ± quimioterapia quando sintomático</w:t>
            </w:r>
          </w:p>
        </w:tc>
      </w:tr>
      <w:tr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Agressivos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Evolução em meses; </w:t>
            </w:r>
            <w:r>
              <w:rPr>
                <w:b/>
                <w:bCs/>
                <w:sz w:val="18"/>
                <w:szCs w:val="18"/>
              </w:rPr>
              <w:t xml:space="preserve">potencialmente curáveis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Difuso de grandes células B, manto, T periféricos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Quimioimunoterapia (R-CHOP)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Muito agressivos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Evolução em dias a semanas; curáveis com tratamento intensivo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Burkitt, linfoblástico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Protocolos intensivos + profilaxia do SNC e da lise tumoral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OMS 2022 (ref. 2); Harrison (ref. 12).</w:t>
      </w:r>
    </w:p>
    <w:p>
      <w:pPr>
        <w:pStyle w:val="Ttulo4"/>
      </w:pPr>
      <w:r>
        <w:rPr/>
        <w:t xml:space="preserve">Principais subtipos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13</w:t>
      </w:r>
      <w:r>
        <w:rPr>
          <w:color w:val="921827"/>
          <w:sz w:val="18"/>
          <w:szCs w:val="18"/>
        </w:rPr>
        <w:t xml:space="preserve"> – Principais linfomas não Hodgkin</w:t>
      </w:r>
    </w:p>
    <w:tbl>
      <w:tblPr>
        <w:tblW w:w="9900" w:type="dxa"/>
        <w:tblLayout w:type="fixed"/>
      </w:tblPr>
      <w:tblGrid>
        <w:gridCol w:w="2100"/>
        <w:gridCol w:w="2500"/>
        <w:gridCol w:w="2700"/>
        <w:gridCol w:w="2600"/>
      </w:tblGrid>
      <w:tr>
        <w:trPr>
          <w:tblHeader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Linfoma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Marcadores e genética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Clínica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Difuso de grandes células B (LDGCB)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CD20+; subtipos de centro germinativo e de célula B ativada; "duplo hit" (MYC + BCL2) é mais agressivo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 LNH mais comum</w:t>
            </w:r>
            <w:r>
              <w:rPr>
                <w:sz w:val="18"/>
                <w:szCs w:val="18"/>
              </w:rPr>
              <w:t xml:space="preserve"> (cerca de 30 a 40%); massa que cresce rápido, sintomas B, extranodal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R-CHOP</w:t>
            </w:r>
            <w:r>
              <w:rPr>
                <w:sz w:val="18"/>
                <w:szCs w:val="18"/>
              </w:rPr>
              <w:t xml:space="preserve"> (rituximabe, ciclofosfamida, doxorrubicina, vincristina, prednisona) ou Pola-R-CHP; cura de 60 a 70%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Folicular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CD20+, CD10+, </w:t>
            </w:r>
            <w:r>
              <w:rPr>
                <w:b/>
                <w:bCs/>
                <w:sz w:val="18"/>
                <w:szCs w:val="18"/>
              </w:rPr>
              <w:t xml:space="preserve">BCL2+; t(14;18)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O indolente mais comum; linfonodomegalia generalizada indolor que oscila; pode transformar em LDGCB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Observação se pouca doença; rituximabe ± quimioterapia (bendamustina)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Burkitt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CD20+, CD10+; </w:t>
            </w:r>
            <w:r>
              <w:rPr>
                <w:b/>
                <w:bCs/>
                <w:sz w:val="18"/>
                <w:szCs w:val="18"/>
              </w:rPr>
              <w:t xml:space="preserve">t(8;14) MYC</w:t>
            </w:r>
            <w:r>
              <w:rPr>
                <w:sz w:val="18"/>
                <w:szCs w:val="18"/>
              </w:rPr>
              <w:t xml:space="preserve">; Ki-67 ≈ 100%; padrão em </w:t>
            </w:r>
            <w:r>
              <w:rPr>
                <w:b/>
                <w:bCs/>
                <w:sz w:val="18"/>
                <w:szCs w:val="18"/>
              </w:rPr>
              <w:t xml:space="preserve">"céu estrelado"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Endêmico (África, EBV, </w:t>
            </w:r>
            <w:r>
              <w:rPr>
                <w:b/>
                <w:bCs/>
                <w:sz w:val="18"/>
                <w:szCs w:val="18"/>
              </w:rPr>
              <w:t xml:space="preserve">mandíbula</w:t>
            </w:r>
            <w:r>
              <w:rPr>
                <w:sz w:val="18"/>
                <w:szCs w:val="18"/>
              </w:rPr>
              <w:t xml:space="preserve">); esporádico (</w:t>
            </w:r>
            <w:r>
              <w:rPr>
                <w:b/>
                <w:bCs/>
                <w:sz w:val="18"/>
                <w:szCs w:val="18"/>
              </w:rPr>
              <w:t xml:space="preserve">abdome</w:t>
            </w:r>
            <w:r>
              <w:rPr>
                <w:sz w:val="18"/>
                <w:szCs w:val="18"/>
              </w:rPr>
              <w:t xml:space="preserve">, região ileocecal); associado ao HIV; </w:t>
            </w:r>
            <w:r>
              <w:rPr>
                <w:b/>
                <w:bCs/>
                <w:sz w:val="18"/>
                <w:szCs w:val="18"/>
              </w:rPr>
              <w:t xml:space="preserve">lise tumoral espontânea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Quimioterapia intensiva de curta duração + profilaxia do SNC; alta taxa de cura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Células do manto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CD5+, </w:t>
            </w:r>
            <w:r>
              <w:rPr>
                <w:b/>
                <w:bCs/>
                <w:sz w:val="18"/>
                <w:szCs w:val="18"/>
              </w:rPr>
              <w:t xml:space="preserve">ciclina D1 (t(11;14))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Homem idoso, doença disseminada, </w:t>
            </w:r>
            <w:r>
              <w:rPr>
                <w:b/>
                <w:bCs/>
                <w:sz w:val="18"/>
                <w:szCs w:val="18"/>
              </w:rPr>
              <w:t xml:space="preserve">polipose linfomatosa</w:t>
            </w:r>
            <w:r>
              <w:rPr>
                <w:sz w:val="18"/>
                <w:szCs w:val="18"/>
              </w:rPr>
              <w:t xml:space="preserve"> do intestino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Quimioimunoterapia, inibidores de BTK (ibrutinibe), transplante autólogo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Zona marginal / MALT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CD20+, CD5−, CD10−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Estômago (</w:t>
            </w:r>
            <w:r>
              <w:rPr>
                <w:b/>
                <w:bCs/>
                <w:sz w:val="18"/>
                <w:szCs w:val="18"/>
              </w:rPr>
              <w:t xml:space="preserve">H. pylori</w:t>
            </w:r>
            <w:r>
              <w:rPr>
                <w:sz w:val="18"/>
                <w:szCs w:val="18"/>
              </w:rPr>
              <w:t xml:space="preserve">), glândulas salivares (Sjögren), tireoide (Hashimoto)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MALT gástrico localizado H. pylori+: </w:t>
            </w:r>
            <w:r>
              <w:rPr>
                <w:b/>
                <w:bCs/>
                <w:sz w:val="18"/>
                <w:szCs w:val="18"/>
              </w:rPr>
              <w:t xml:space="preserve">erradicação da bactéria</w:t>
            </w:r>
            <w:r>
              <w:rPr>
                <w:sz w:val="18"/>
                <w:szCs w:val="18"/>
              </w:rPr>
              <w:t xml:space="preserve"> (pode curar)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Linfoma linfocítico / LLC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CD5+, CD23+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Idoso, linfocitose, linfonodos; "manchas de Gumprecht" no esfregaço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Observação ou terapia-alvo (BTK, venetoclax)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Linfomas 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CD3+ (T periféricos, anaplásico ALK, micose fungoide)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Leucemia/linfoma T do adulto: </w:t>
            </w:r>
            <w:r>
              <w:rPr>
                <w:b/>
                <w:bCs/>
                <w:sz w:val="18"/>
                <w:szCs w:val="18"/>
              </w:rPr>
              <w:t xml:space="preserve">HTLV-1</w:t>
            </w:r>
            <w:r>
              <w:rPr>
                <w:sz w:val="18"/>
                <w:szCs w:val="18"/>
              </w:rPr>
              <w:t xml:space="preserve">, hipercalcemia, lesões de pele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Quimioterapia (CHOP ± brentuximabe nos CD30+); prognóstico pior que os B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OMS 2022 (ref. 2); Harrison (ref. 12).</w:t>
      </w:r>
    </w:p>
    <w:p>
      <w:pPr>
        <w:pStyle w:val="Ttulo4"/>
      </w:pPr>
      <w:r>
        <w:rPr/>
        <w:t xml:space="preserve">Diagnóstico e estadiamento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Biópsia excisional</w:t>
      </w:r>
      <w:r>
        <w:rPr/>
        <w:t xml:space="preserve"> com imuno-histoquímica (e citogenética/FISH quando necessário).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PET-CT</w:t>
      </w:r>
      <w:r>
        <w:rPr/>
        <w:t xml:space="preserve"> nos linfomas ávidos por FDG (a maioria); tomografia nos não ávidos.</w:t>
      </w:r>
    </w:p>
    <w:p>
      <w:pPr>
        <w:numPr>
          <w:ilvl w:val="0"/>
          <w:numId w:val="1"/>
        </w:numPr>
      </w:pPr>
      <w:r>
        <w:rPr/>
        <w:t xml:space="preserve">Exames: hemograma, </w:t>
      </w:r>
      <w:r>
        <w:rPr>
          <w:b/>
          <w:bCs/>
        </w:rPr>
        <w:t xml:space="preserve">LDH</w:t>
      </w:r>
      <w:r>
        <w:rPr/>
        <w:t xml:space="preserve">, ácido úrico, função renal e hepática, </w:t>
      </w:r>
      <w:r>
        <w:rPr>
          <w:b/>
          <w:bCs/>
        </w:rPr>
        <w:t xml:space="preserve">sorologias para HIV, hepatite B e C</w:t>
      </w:r>
      <w:r>
        <w:rPr/>
        <w:t xml:space="preserve"> (o rituximabe pode </w:t>
      </w:r>
      <w:r>
        <w:rPr>
          <w:b/>
          <w:bCs/>
        </w:rPr>
        <w:t xml:space="preserve">reativar a hepatite B</w:t>
      </w:r>
      <w:r>
        <w:rPr/>
        <w:t xml:space="preserve">: rastrear e fazer profilaxia), β2-microglobulina, ecocardiograma antes de antraciclina.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Biópsia de medula</w:t>
      </w:r>
      <w:r>
        <w:rPr/>
        <w:t xml:space="preserve"> em casos selecionados; </w:t>
      </w:r>
      <w:r>
        <w:rPr>
          <w:b/>
          <w:bCs/>
        </w:rPr>
        <w:t xml:space="preserve">líquor</w:t>
      </w:r>
      <w:r>
        <w:rPr/>
        <w:t xml:space="preserve"> se alto risco de acometimento do SNC (Burkitt, linfoblástico, CNS-IPI alto, rim/suprarrenal/testículo).</w:t>
      </w:r>
    </w:p>
    <w:p>
      <w:pPr>
        <w:numPr>
          <w:ilvl w:val="0"/>
          <w:numId w:val="1"/>
        </w:numPr>
      </w:pPr>
      <w:r>
        <w:rPr/>
        <w:t xml:space="preserve">Estadiamento de </w:t>
      </w:r>
      <w:r>
        <w:rPr>
          <w:b/>
          <w:bCs/>
        </w:rPr>
        <w:t xml:space="preserve">Lugano</w:t>
      </w:r>
      <w:r>
        <w:rPr/>
        <w:t xml:space="preserve"> (mesmo do Hodgkin; os sintomas B não entram na classificação do LNH, mas são descritos).</w:t>
      </w:r>
    </w:p>
    <w:p>
      <w:pPr>
        <w:pStyle w:val="Ttulo4"/>
      </w:pPr>
      <w:r>
        <w:rPr/>
        <w:t xml:space="preserve">Prognóstico: IPI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14</w:t>
      </w:r>
      <w:r>
        <w:rPr>
          <w:color w:val="921827"/>
          <w:sz w:val="18"/>
          <w:szCs w:val="18"/>
        </w:rPr>
        <w:t xml:space="preserve"> – Índice Prognóstico Internacional (IPI) no LDGCB</w:t>
      </w:r>
    </w:p>
    <w:tbl>
      <w:tblPr>
        <w:tblW w:w="9900" w:type="dxa"/>
        <w:tblLayout w:type="fixed"/>
      </w:tblPr>
      <w:tblGrid>
        <w:gridCol w:w="4950"/>
        <w:gridCol w:w="4950"/>
      </w:tblGrid>
      <w:tr>
        <w:trPr>
          <w:tblHeader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Fator (1 ponto cada)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Idade &gt; 60 anos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0–1 ponto: baixo risco</w:t>
            </w:r>
          </w:p>
        </w:tc>
      </w:tr>
      <w:tr>
        <w:trPr>
          <w:cantSplit/>
        </w:trPr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LDH</w:t>
            </w:r>
            <w:r>
              <w:rPr>
                <w:b/>
                <w:bCs/>
                <w:sz w:val="18"/>
                <w:szCs w:val="18"/>
              </w:rPr>
              <w:t xml:space="preserve"> acima do normal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2 pontos: risco intermediário-baixo</w:t>
            </w:r>
          </w:p>
        </w:tc>
      </w:tr>
      <w:tr>
        <w:trPr>
          <w:cantSplit/>
        </w:trPr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Performance status (</w:t>
            </w:r>
            <w:r>
              <w:rPr>
                <w:b/>
                <w:bCs/>
                <w:sz w:val="18"/>
                <w:szCs w:val="18"/>
              </w:rPr>
              <w:t xml:space="preserve">ECOG</w:t>
            </w:r>
            <w:r>
              <w:rPr>
                <w:b/>
                <w:bCs/>
                <w:sz w:val="18"/>
                <w:szCs w:val="18"/>
              </w:rPr>
              <w:t xml:space="preserve">) ≥ 2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3 pontos: risco intermediário-alto</w:t>
            </w:r>
          </w:p>
        </w:tc>
      </w:tr>
      <w:tr>
        <w:trPr>
          <w:cantSplit/>
        </w:trPr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Estádio </w:t>
            </w:r>
            <w:r>
              <w:rPr>
                <w:b/>
                <w:bCs/>
                <w:sz w:val="18"/>
                <w:szCs w:val="18"/>
              </w:rPr>
              <w:t xml:space="preserve">III ou IV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4–5 pontos: alto risco</w:t>
            </w:r>
          </w:p>
        </w:tc>
      </w:tr>
      <w:tr>
        <w:trPr>
          <w:cantSplit/>
        </w:trPr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&gt; 1 sítio </w:t>
            </w:r>
            <w:r>
              <w:rPr>
                <w:b/>
                <w:bCs/>
                <w:sz w:val="18"/>
                <w:szCs w:val="18"/>
              </w:rPr>
              <w:t xml:space="preserve">extranodal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12). Mnemônico: "APLES" (Age, Performance, LDH, Extranodal, Stage).</w:t>
      </w:r>
    </w:p>
    <w:p>
      <w:pPr>
        <w:pStyle w:val="Ttulo4"/>
      </w:pPr>
      <w:r>
        <w:rPr/>
        <w:t xml:space="preserve">Hodgkin × não Hodgkin</w:t>
      </w:r>
    </w:p>
    <w:p>
      <w:pPr>
        <w:keepNext/>
        <w:spacing w:before="60" w:after="60" w:line="240" w:lineRule="auto"/>
        <w:jc w:val="left"/>
      </w:pPr>
      <w:r>
        <w:rPr>
          <w:b/>
          <w:bCs/>
          <w:color w:val="921827"/>
          <w:sz w:val="18"/>
          <w:szCs w:val="18"/>
        </w:rPr>
        <w:t xml:space="preserve">Tabela 15</w:t>
      </w:r>
      <w:r>
        <w:rPr>
          <w:color w:val="921827"/>
          <w:sz w:val="18"/>
          <w:szCs w:val="18"/>
        </w:rPr>
        <w:t xml:space="preserve"> – Diferenças entre linfoma de Hodgkin e não Hodgkin</w:t>
      </w:r>
    </w:p>
    <w:tbl>
      <w:tblPr>
        <w:tblW w:w="9900" w:type="dxa"/>
        <w:tblLayout w:type="fixed"/>
      </w:tblPr>
      <w:tblGrid>
        <w:gridCol w:w="2600"/>
        <w:gridCol w:w="3600"/>
        <w:gridCol w:w="3700"/>
      </w:tblGrid>
      <w:tr>
        <w:trPr>
          <w:tblHeader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Hodgkin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9218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Hodgkin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Célula característica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Reed-Sternberg (CD15+, CD30+)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Variável (B na maioria)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Idade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Bimodal (jovens e &gt; 55 anos)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Aumenta com a idade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Disseminação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Contígua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Não contígua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Extranodal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Raro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Frequente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Mediastino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Comum (esclerose nodular)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Menos comum (exceto linfoblástico e mediastinal primário)</w:t>
            </w:r>
          </w:p>
        </w:tc>
      </w:tr>
      <w:tr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Prognóstico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Cura em 80 a 90%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E3C9CE"/>
              <w:right w:val="nil"/>
            </w:tcBorders>
            <w:shd w:val="clear" w:color="auto" w:fill="F8ED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sz w:val="18"/>
                <w:szCs w:val="18"/>
              </w:rPr>
              <w:t xml:space="preserve">Depende do subtipo</w:t>
            </w:r>
          </w:p>
        </w:tc>
      </w:tr>
    </w:tbl>
    <w:p>
      <w:pPr>
        <w:spacing w:before="60" w:line="240" w:lineRule="auto"/>
      </w:pPr>
      <w:r>
        <w:rPr>
          <w:i/>
          <w:color w:val="595959"/>
          <w:sz w:val="16"/>
          <w:szCs w:val="16"/>
        </w:rPr>
        <w:t xml:space="preserve">Adaptado de: Harrison (ref. 12); Ansell (ref. 13).</w:t>
      </w:r>
    </w:p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A8771C"/>
              <w:bottom w:val="nil"/>
              <w:right w:val="nil"/>
            </w:tcBorders>
            <w:shd w:val="clear" w:color="auto" w:fill="FBF4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A8771C"/>
                <w:sz w:val="16"/>
                <w:szCs w:val="16"/>
              </w:rPr>
              <w:t xml:space="preserve">Aplicação aos casos da SP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No caso da SP, comece pelo hemograma: </w:t>
            </w:r>
            <w:r>
              <w:rPr>
                <w:b/>
                <w:bCs/>
                <w:sz w:val="16"/>
                <w:szCs w:val="16"/>
              </w:rPr>
              <w:t xml:space="preserve">citopenias com blastos</w:t>
            </w:r>
            <w:r>
              <w:rPr>
                <w:sz w:val="16"/>
                <w:szCs w:val="16"/>
              </w:rPr>
              <w:t xml:space="preserve"> apontam para leucemia aguda (mielograma e imunofenotipagem); </w:t>
            </w:r>
            <w:r>
              <w:rPr>
                <w:b/>
                <w:bCs/>
                <w:sz w:val="16"/>
                <w:szCs w:val="16"/>
              </w:rPr>
              <w:t xml:space="preserve">linfonodo suspeito</w:t>
            </w:r>
            <w:r>
              <w:rPr>
                <w:sz w:val="16"/>
                <w:szCs w:val="16"/>
              </w:rPr>
              <w:t xml:space="preserve"> sem blastos aponta para linfoma (biópsia excisional).</w:t>
            </w:r>
          </w:p>
          <w:p>
            <w:pPr>
              <w:spacing w:after="40" w:line="276" w:lineRule="auto"/>
            </w:pPr>
            <w:r>
              <w:rPr>
                <w:sz w:val="16"/>
                <w:szCs w:val="16"/>
              </w:rPr>
              <w:t xml:space="preserve">Antes de qualquer conduta, procure as </w:t>
            </w:r>
            <w:r>
              <w:rPr>
                <w:b/>
                <w:bCs/>
                <w:sz w:val="16"/>
                <w:szCs w:val="16"/>
              </w:rPr>
              <w:t xml:space="preserve">emergências</w:t>
            </w:r>
            <w:r>
              <w:rPr>
                <w:sz w:val="16"/>
                <w:szCs w:val="16"/>
              </w:rPr>
              <w:t xml:space="preserve">: febre com neutropenia, sangramento com fibrinogênio baixo (LPA), leucometria muito alta (leucostase) e eletrólitos alterados (lise tumoral).</w:t>
            </w:r>
          </w:p>
        </w:tc>
      </w:tr>
    </w:tbl>
    <w:p/>
    <w:tbl>
      <w:tblPr>
        <w:tblW w:w="9900" w:type="dxa"/>
        <w:tblLayout w:type="fixed"/>
      </w:tblPr>
      <w:tblGrid>
        <w:gridCol w:w="9900"/>
      </w:tblGrid>
      <w:tr>
        <w:trPr>
          <w:cantSplit/>
        </w:trPr>
        <w:tc>
          <w:tcPr>
            <w:tcW w:w="9900" w:type="dxa"/>
            <w:tcBorders>
              <w:top w:val="nil"/>
              <w:left w:val="single" w:sz="24" w:space="0" w:color="921827"/>
              <w:bottom w:val="nil"/>
              <w:right w:val="nil"/>
            </w:tcBorders>
            <w:shd w:val="clear" w:color="auto" w:fill="F8EDE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>
            <w:pPr>
              <w:keepNext/>
              <w:spacing w:after="20" w:line="276" w:lineRule="auto"/>
              <w:jc w:val="left"/>
            </w:pPr>
            <w:r>
              <w:rPr>
                <w:b/>
                <w:bCs/>
                <w:color w:val="921827"/>
                <w:sz w:val="16"/>
                <w:szCs w:val="16"/>
              </w:rPr>
              <w:t xml:space="preserve">Pontos-Chave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sz w:val="16"/>
                <w:szCs w:val="16"/>
              </w:rPr>
              <w:t xml:space="preserve">Leucemia aguda = </w:t>
            </w:r>
            <w:r>
              <w:rPr>
                <w:b/>
                <w:bCs/>
                <w:sz w:val="16"/>
                <w:szCs w:val="16"/>
              </w:rPr>
              <w:t xml:space="preserve">≥ 20% de blastos</w:t>
            </w:r>
            <w:r>
              <w:rPr>
                <w:sz w:val="16"/>
                <w:szCs w:val="16"/>
              </w:rPr>
              <w:t xml:space="preserve"> na medula (exceções genéticas na LMA); a </w:t>
            </w:r>
            <w:r>
              <w:rPr>
                <w:b/>
                <w:bCs/>
                <w:sz w:val="16"/>
                <w:szCs w:val="16"/>
              </w:rPr>
              <w:t xml:space="preserve">imunofenotipagem</w:t>
            </w:r>
            <w:r>
              <w:rPr>
                <w:sz w:val="16"/>
                <w:szCs w:val="16"/>
              </w:rPr>
              <w:t xml:space="preserve"> separa LMA de LLA.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LLA:</w:t>
            </w:r>
            <w:r>
              <w:rPr>
                <w:sz w:val="16"/>
                <w:szCs w:val="16"/>
              </w:rPr>
              <w:t xml:space="preserve"> câncer mais comum da infância (pico 2–5 anos), dor óssea, profilaxia do SNC, manutenção com 6-MP + metotrexato; cura de 85–90%. Ph+ recebe inibidor de tirosina-quinase.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LMA:</w:t>
            </w:r>
            <w:r>
              <w:rPr>
                <w:sz w:val="16"/>
                <w:szCs w:val="16"/>
              </w:rPr>
              <w:t xml:space="preserve"> adulto, bastonetes de Auer, risco pela genética (ELN 2022); indução "7 + 3"; idosos: azacitidina + venetoclax.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LPA:</w:t>
            </w:r>
            <w:r>
              <w:rPr>
                <w:sz w:val="16"/>
                <w:szCs w:val="16"/>
              </w:rPr>
              <w:t xml:space="preserve"> t(15;17) PML::RARA, CIVD → </w:t>
            </w:r>
            <w:r>
              <w:rPr>
                <w:b/>
                <w:bCs/>
                <w:sz w:val="16"/>
                <w:szCs w:val="16"/>
              </w:rPr>
              <w:t xml:space="preserve">ATRA na suspeita</w:t>
            </w:r>
            <w:r>
              <w:rPr>
                <w:sz w:val="16"/>
                <w:szCs w:val="16"/>
              </w:rPr>
              <w:t xml:space="preserve">; ATRA + arsênio; síndrome de diferenciação → dexametasona.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Lise tumoral:</w:t>
            </w:r>
            <w:r>
              <w:rPr>
                <w:sz w:val="16"/>
                <w:szCs w:val="16"/>
              </w:rPr>
              <w:t xml:space="preserve"> ↑ ácido úrico, K e P, ↓ Ca; hidratação, alopurinol ou rasburicase (não usar na deficiência de G6PD).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Neutropenia febril:</w:t>
            </w:r>
            <w:r>
              <w:rPr>
                <w:sz w:val="16"/>
                <w:szCs w:val="16"/>
              </w:rPr>
              <w:t xml:space="preserve"> ≥ 38,3 °C ou ≥ 38,0 °C por 1 h + neutrófilos &lt; 500 → </w:t>
            </w:r>
            <w:r>
              <w:rPr>
                <w:b/>
                <w:bCs/>
                <w:sz w:val="16"/>
                <w:szCs w:val="16"/>
              </w:rPr>
              <w:t xml:space="preserve">β-lactâmico antipseudomonas na 1ª hora</w:t>
            </w:r>
            <w:r>
              <w:rPr>
                <w:sz w:val="16"/>
                <w:szCs w:val="16"/>
              </w:rPr>
              <w:t xml:space="preserve">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sz w:val="16"/>
                <w:szCs w:val="16"/>
              </w:rPr>
              <w:t xml:space="preserve">Linfonodo </w:t>
            </w:r>
            <w:r>
              <w:rPr>
                <w:b/>
                <w:bCs/>
                <w:sz w:val="16"/>
                <w:szCs w:val="16"/>
              </w:rPr>
              <w:t xml:space="preserve">supraclavicular</w:t>
            </w:r>
            <w:r>
              <w:rPr>
                <w:sz w:val="16"/>
                <w:szCs w:val="16"/>
              </w:rPr>
              <w:t xml:space="preserve">, endurecido, indolor, &gt; 2 cm ou &gt; 4–6 semanas → </w:t>
            </w:r>
            <w:r>
              <w:rPr>
                <w:b/>
                <w:bCs/>
                <w:sz w:val="16"/>
                <w:szCs w:val="16"/>
              </w:rPr>
              <w:t xml:space="preserve">biópsia excisional</w:t>
            </w:r>
            <w:r>
              <w:rPr>
                <w:sz w:val="16"/>
                <w:szCs w:val="16"/>
              </w:rPr>
              <w:t xml:space="preserve"> (PAAF não basta).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Hodgkin:</w:t>
            </w:r>
            <w:r>
              <w:rPr>
                <w:sz w:val="16"/>
                <w:szCs w:val="16"/>
              </w:rPr>
              <w:t xml:space="preserve"> Reed-Sternberg CD15+/CD30+, bimodal, disseminação contígua, mediastino, sintomas B; ABVD; cura 80–90%.</w:t>
            </w:r>
          </w:p>
          <w:p>
            <w:pPr>
              <w:numPr>
                <w:ilvl w:val="0"/>
                <w:numId w:val="1"/>
              </w:numPr>
              <w:spacing w:after="20" w:line="276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LNH:</w:t>
            </w:r>
            <w:r>
              <w:rPr>
                <w:sz w:val="16"/>
                <w:szCs w:val="16"/>
              </w:rPr>
              <w:t xml:space="preserve"> LDGCB é o mais comum (R-CHOP); folicular t(14;18); Burkitt t(8;14) e "céu estrelado"; manto t(11;14); MALT gástrico e H. pylori. Estadiamento de Lugano e IPI.</w:t>
            </w:r>
          </w:p>
        </w:tc>
      </w:tr>
    </w:tbl>
    <w:p/>
    <w:p>
      <w:pPr>
        <w:pStyle w:val="Ttulo3"/>
      </w:pPr>
      <w:r>
        <w:rPr/>
        <w:t xml:space="preserve">Referências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Khoury JD, Solary E, Abla O, et al. The 5th edition of the World Health Organization Classification of Haematolymphoid Tumours: myeloid and histiocytic/dendritic neoplasms. Leukemia. 2022;36(7):1703-1719.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Alaggio R, Amador C, Anagnostopoulos I, et al. The 5th edition of the World Health Organization Classification of Haematolymphoid Tumours: lymphoid neoplasms. Leukemia. 2022;36(7):1720-1748.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Arber DA, Orazi A, Hasserjian RP, et al. International Consensus Classification of myeloid neoplasms and acute leukemias: integrating morphologic, clinical, and genomic data. Blood. 2022;140(11):1200-1228.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Döhner H, Wei AH, Appelbaum FR, et al. Diagnosis and management of AML in adults: 2022 recommendations from an international expert panel on behalf of the ELN. Blood. 2022;140(12):1345-1377.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Sanz MA, Fenaux P, Tallman MS, et al. Management of acute promyelocytic leukemia: updated recommendations from an expert panel of the European LeukemiaNet. Blood. 2019;133(15):1630-1643.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Cheson BD, Fisher RI, Barrington SF, et al. Recommendations for initial evaluation, staging, and response assessment of Hodgkin and non-Hodgkin lymphoma: the Lugano classification. J Clin Oncol. 2014;32(27):3059-3068.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Cairo MS, Bishop M. Tumour lysis syndrome: new therapeutic strategies and classification. Br J Haematol. 2004;127(1):3-11.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Taplitz RA, Kennedy EB, Bow EJ, et al. Outpatient management of fever and neutropenia in adults treated for malignancy: American Society of Clinical Oncology and Infectious Diseases Society of America clinical practice guideline update. J Clin Oncol. 2018;36(14):1443-1453.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Freifeld AG, Bow EJ, Sepkowitz KA, et al. Clinical practice guideline for the use of antimicrobial agents in neutropenic patients with cancer: 2010 update by the Infectious Diseases Society of America. Clin Infect Dis. 2011;52(4):e56-e93.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Instituto Nacional de Câncer (Brasil). Estimativa 2023: incidência de câncer no Brasil. Rio de Janeiro: INCA; 2022.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Inaba H, Mullighan CG. Pediatric acute lymphoblastic leukemia. Haematologica. 2020;105(11):2524-2539.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Loscalzo J, Fauci AS, Kasper DL, Hauser SL, Longo DL, Jameson JL, editors. Harrison's principles of internal medicine. 21st ed. New York: McGraw Hill; 2022.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Ansell SM. Hodgkin lymphoma: 2023 update on diagnosis, risk-stratification, and management. Am J Hematol. 2022;97(11):1478-1488.</w:t>
      </w:r>
    </w:p>
    <w:p>
      <w:pPr>
        <w:numPr>
          <w:ilvl w:val="0"/>
          <w:numId w:val="84"/>
        </w:numPr>
        <w:spacing w:line="276" w:lineRule="auto"/>
      </w:pPr>
      <w:r>
        <w:rPr>
          <w:sz w:val="20"/>
          <w:szCs w:val="20"/>
        </w:rPr>
        <w:t xml:space="preserve">Instituto Nacional de Câncer (Brasil). Diagnóstico precoce do câncer na criança e no adolescente. 2. ed. Rio de Janeiro: INCA; 2014.</w:t>
      </w:r>
    </w:p>
    <w:sectPr w:rsidR="002E369D" w:rsidRPr="00295876" w:rsidSect="00422A14">
      <w:type w:val="continuous"/>
      <w:pgSz w:w="11906" w:h="16838"/>
      <w:pgMar w:top="964" w:right="964" w:bottom="964" w:left="964" w:header="794" w:footer="227" w:gutter="0"/>
      <w:cols w:space="34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A8AE19" w14:textId="77777777" w:rsidR="00A87142" w:rsidRDefault="00A87142" w:rsidP="00305855">
      <w:pPr>
        <w:spacing w:after="0" w:line="240" w:lineRule="auto"/>
      </w:pPr>
      <w:r>
        <w:separator/>
      </w:r>
    </w:p>
  </w:endnote>
  <w:endnote w:type="continuationSeparator" w:id="0">
    <w:p w14:paraId="17D3BABF" w14:textId="77777777" w:rsidR="00A87142" w:rsidRDefault="00A87142" w:rsidP="00305855">
      <w:pPr>
        <w:spacing w:after="0" w:line="240" w:lineRule="auto"/>
      </w:pPr>
      <w:r>
        <w:continuationSeparator/>
      </w:r>
    </w:p>
  </w:endnote>
  <w:endnote w:type="continuationNotice" w:id="1">
    <w:p w14:paraId="6B04F4C0" w14:textId="77777777" w:rsidR="00A87142" w:rsidRDefault="00A871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 Decorative Bold">
    <w:panose1 w:val="00000800000000000000"/>
    <w:charset w:val="4D"/>
    <w:family w:val="auto"/>
    <w:pitch w:val="variable"/>
    <w:sig w:usb0="00000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nzel Decorative Black">
    <w:panose1 w:val="00000A00000000000000"/>
    <w:charset w:val="4D"/>
    <w:family w:val="auto"/>
    <w:pitch w:val="variable"/>
    <w:sig w:usb0="00000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8174621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D343DE4" w14:textId="77777777" w:rsidR="009B1637" w:rsidRDefault="009B1637" w:rsidP="000730B1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612A58">
          <w:rPr>
            <w:rStyle w:val="Nmerodepgina"/>
            <w:noProof/>
          </w:rPr>
          <w:t>61</w:t>
        </w:r>
        <w:r>
          <w:rPr>
            <w:rStyle w:val="Nmerodepgina"/>
          </w:rPr>
          <w:fldChar w:fldCharType="end"/>
        </w:r>
      </w:p>
    </w:sdtContent>
  </w:sdt>
  <w:p w14:paraId="48371F6E" w14:textId="77777777" w:rsidR="009B1637" w:rsidRDefault="009B16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310FE9" w14:textId="77777777" w:rsidR="00F26E57" w:rsidRPr="00F26E57" w:rsidRDefault="00F26E57">
    <w:pPr>
      <w:pStyle w:val="Rodap"/>
      <w:jc w:val="center"/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</w:pP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fldChar w:fldCharType="begin"/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instrText>PAGE   \* MERGEFORMAT</w:instrText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fldChar w:fldCharType="separate"/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t>2</w:t>
    </w:r>
    <w:r w:rsidRPr="00F26E57">
      <w:rPr>
        <w:rFonts w:ascii="Cinzel Decorative Black" w:hAnsi="Cinzel Decorative Black"/>
        <w:b/>
        <w:bCs/>
        <w:caps/>
        <w:color w:val="000000" w:themeColor="text1"/>
        <w:sz w:val="20"/>
        <w:szCs w:val="20"/>
      </w:rPr>
      <w:fldChar w:fldCharType="end"/>
    </w:r>
  </w:p>
  <w:p w14:paraId="103C316B" w14:textId="77777777" w:rsidR="009B1637" w:rsidRDefault="009B16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6C5A1E" w14:textId="77777777" w:rsidR="00895944" w:rsidRDefault="008959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8527AE" w14:textId="77777777" w:rsidR="00A87142" w:rsidRDefault="00A87142" w:rsidP="00305855">
      <w:pPr>
        <w:spacing w:after="0" w:line="240" w:lineRule="auto"/>
      </w:pPr>
      <w:r>
        <w:separator/>
      </w:r>
    </w:p>
  </w:footnote>
  <w:footnote w:type="continuationSeparator" w:id="0">
    <w:p w14:paraId="16A388D0" w14:textId="77777777" w:rsidR="00A87142" w:rsidRDefault="00A87142" w:rsidP="00305855">
      <w:pPr>
        <w:spacing w:after="0" w:line="240" w:lineRule="auto"/>
      </w:pPr>
      <w:r>
        <w:continuationSeparator/>
      </w:r>
    </w:p>
  </w:footnote>
  <w:footnote w:type="continuationNotice" w:id="1">
    <w:p w14:paraId="78A0C863" w14:textId="77777777" w:rsidR="00A87142" w:rsidRDefault="00A871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9BC116" w14:textId="77777777" w:rsidR="00895944" w:rsidRDefault="008959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3603BA" w14:textId="77777777" w:rsidR="00D932C0" w:rsidRDefault="0089594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74B257" wp14:editId="35F03E44">
              <wp:simplePos x="0" y="0"/>
              <wp:positionH relativeFrom="column">
                <wp:posOffset>5576883</wp:posOffset>
              </wp:positionH>
              <wp:positionV relativeFrom="paragraph">
                <wp:posOffset>-59277</wp:posOffset>
              </wp:positionV>
              <wp:extent cx="1227604" cy="286721"/>
              <wp:effectExtent l="0" t="0" r="0" b="0"/>
              <wp:wrapNone/>
              <wp:docPr id="22" name="Retâ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7604" cy="2867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219A64" w14:textId="77777777" w:rsidR="00895944" w:rsidRPr="00CB0107" w:rsidRDefault="00895944" w:rsidP="00895944">
                          <w:pPr>
                            <w:jc w:val="center"/>
                            <w:rPr>
                              <w:rFonts w:ascii="Cinzel Decorative Bold" w:hAnsi="Cinzel Decorative Bold"/>
                              <w:b/>
                              <w:bCs/>
                              <w:color w:val="000000" w:themeColor="text1"/>
                              <w:sz w:val="11"/>
                              <w:szCs w:val="11"/>
                            </w:rPr>
                          </w:pPr>
                          <w:proofErr w:type="spellStart"/>
                          <w:r w:rsidRPr="00CB0107">
                            <w:rPr>
                              <w:rFonts w:ascii="Cinzel Decorative Bold" w:hAnsi="Cinzel Decorative Bold"/>
                              <w:b/>
                              <w:bCs/>
                              <w:color w:val="000000" w:themeColor="text1"/>
                              <w:sz w:val="11"/>
                              <w:szCs w:val="11"/>
                            </w:rPr>
                            <w:t>By</w:t>
                          </w:r>
                          <w:proofErr w:type="spellEnd"/>
                          <w:r w:rsidRPr="00CB0107">
                            <w:rPr>
                              <w:rFonts w:ascii="Cinzel Decorative Bold" w:hAnsi="Cinzel Decorative Bold"/>
                              <w:b/>
                              <w:bCs/>
                              <w:color w:val="000000" w:themeColor="text1"/>
                              <w:sz w:val="11"/>
                              <w:szCs w:val="11"/>
                            </w:rPr>
                            <w:t xml:space="preserve"> Laura Nunes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74B257" id="Retângulo 26" o:spid="_x0000_s1036" style="position:absolute;left:0;text-align:left;margin-left:439.1pt;margin-top:-4.65pt;width:96.65pt;height:2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" filled="f" stroked="f" strokeweight="1pt">
              <v:textbox>
                <w:txbxContent>
                  <w:p w14:paraId="10219A64" w14:textId="77777777" w:rsidR="00895944" w:rsidRPr="00CB0107" w:rsidRDefault="00895944" w:rsidP="00895944">
                    <w:pPr>
                      <w:jc w:val="center"/>
                      <w:rPr>
                        <w:rFonts w:ascii="Cinzel Decorative Bold" w:hAnsi="Cinzel Decorative Bold"/>
                        <w:b/>
                        <w:bCs/>
                        <w:color w:val="000000" w:themeColor="text1"/>
                        <w:sz w:val="11"/>
                        <w:szCs w:val="11"/>
                      </w:rPr>
                    </w:pPr>
                    <w:proofErr w:type="spellStart"/>
                    <w:r w:rsidRPr="00CB0107">
                      <w:rPr>
                        <w:rFonts w:ascii="Cinzel Decorative Bold" w:hAnsi="Cinzel Decorative Bold"/>
                        <w:b/>
                        <w:bCs/>
                        <w:color w:val="000000" w:themeColor="text1"/>
                        <w:sz w:val="11"/>
                        <w:szCs w:val="11"/>
                      </w:rPr>
                      <w:t>By</w:t>
                    </w:r>
                    <w:proofErr w:type="spellEnd"/>
                    <w:r w:rsidRPr="00CB0107">
                      <w:rPr>
                        <w:rFonts w:ascii="Cinzel Decorative Bold" w:hAnsi="Cinzel Decorative Bold"/>
                        <w:b/>
                        <w:bCs/>
                        <w:color w:val="000000" w:themeColor="text1"/>
                        <w:sz w:val="11"/>
                        <w:szCs w:val="11"/>
                      </w:rPr>
                      <w:t xml:space="preserve"> Laura Nunes</w:t>
                    </w:r>
                  </w:p>
                </w:txbxContent>
              </v:textbox>
            </v:rect>
          </w:pict>
        </mc:Fallback>
      </mc:AlternateContent>
    </w:r>
    <w:r w:rsidR="004D7A45">
      <w:rPr>
        <w:noProof/>
      </w:rPr>
      <w:drawing>
        <wp:anchor distT="0" distB="0" distL="114300" distR="114300" simplePos="0" relativeHeight="251655680" behindDoc="0" locked="0" layoutInCell="1" allowOverlap="1" wp14:anchorId="13787354" wp14:editId="461EF0DA">
          <wp:simplePos x="0" y="0"/>
          <wp:positionH relativeFrom="column">
            <wp:posOffset>6021070</wp:posOffset>
          </wp:positionH>
          <wp:positionV relativeFrom="paragraph">
            <wp:posOffset>-347882</wp:posOffset>
          </wp:positionV>
          <wp:extent cx="435616" cy="296060"/>
          <wp:effectExtent l="0" t="0" r="0" b="0"/>
          <wp:wrapNone/>
          <wp:docPr id="23" name="Imagem 17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7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616" cy="296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4F2816" w14:textId="77777777" w:rsidR="00895944" w:rsidRDefault="008959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736FB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506EF3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E3C9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3B6E8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D8D20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7814A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BC46E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04C00E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7EA0F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E6651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2747A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070B9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CC712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9C61BF"/>
    <w:multiLevelType w:val="multilevel"/>
    <w:tmpl w:val="E8F2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E800F9"/>
    <w:multiLevelType w:val="multilevel"/>
    <w:tmpl w:val="BC9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758F1"/>
    <w:multiLevelType w:val="multilevel"/>
    <w:tmpl w:val="AED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81EAB"/>
    <w:multiLevelType w:val="multilevel"/>
    <w:tmpl w:val="92E26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16809863">
    <w:abstractNumId w:val="3"/>
    <w:lvlOverride w:ilvl="0">
      <w:startOverride w:val="1"/>
    </w:lvlOverride>
  </w:num>
  <w:num w:numId="2" w16cid:durableId="548690570">
    <w:abstractNumId w:val="3"/>
    <w:lvlOverride w:ilvl="0">
      <w:startOverride w:val="1"/>
    </w:lvlOverride>
  </w:num>
  <w:num w:numId="3" w16cid:durableId="1832673980">
    <w:abstractNumId w:val="3"/>
    <w:lvlOverride w:ilvl="0">
      <w:startOverride w:val="1"/>
    </w:lvlOverride>
  </w:num>
  <w:num w:numId="4" w16cid:durableId="1307081976">
    <w:abstractNumId w:val="3"/>
    <w:lvlOverride w:ilvl="0">
      <w:startOverride w:val="1"/>
    </w:lvlOverride>
  </w:num>
  <w:num w:numId="5" w16cid:durableId="1654019610">
    <w:abstractNumId w:val="3"/>
    <w:lvlOverride w:ilvl="0">
      <w:startOverride w:val="1"/>
    </w:lvlOverride>
  </w:num>
  <w:num w:numId="6" w16cid:durableId="912736546">
    <w:abstractNumId w:val="3"/>
    <w:lvlOverride w:ilvl="0">
      <w:startOverride w:val="1"/>
    </w:lvlOverride>
  </w:num>
  <w:num w:numId="7" w16cid:durableId="730544698">
    <w:abstractNumId w:val="3"/>
    <w:lvlOverride w:ilvl="0">
      <w:startOverride w:val="1"/>
    </w:lvlOverride>
  </w:num>
  <w:num w:numId="8" w16cid:durableId="935093960">
    <w:abstractNumId w:val="3"/>
    <w:lvlOverride w:ilvl="0">
      <w:startOverride w:val="1"/>
    </w:lvlOverride>
  </w:num>
  <w:num w:numId="9" w16cid:durableId="592133218">
    <w:abstractNumId w:val="3"/>
    <w:lvlOverride w:ilvl="0">
      <w:startOverride w:val="1"/>
    </w:lvlOverride>
  </w:num>
  <w:num w:numId="10" w16cid:durableId="1236471508">
    <w:abstractNumId w:val="3"/>
    <w:lvlOverride w:ilvl="0">
      <w:startOverride w:val="1"/>
    </w:lvlOverride>
  </w:num>
  <w:num w:numId="11" w16cid:durableId="574820768">
    <w:abstractNumId w:val="3"/>
    <w:lvlOverride w:ilvl="0">
      <w:startOverride w:val="1"/>
    </w:lvlOverride>
  </w:num>
  <w:num w:numId="12" w16cid:durableId="691491857">
    <w:abstractNumId w:val="3"/>
    <w:lvlOverride w:ilvl="0">
      <w:startOverride w:val="1"/>
    </w:lvlOverride>
  </w:num>
  <w:num w:numId="13" w16cid:durableId="1655715132">
    <w:abstractNumId w:val="3"/>
    <w:lvlOverride w:ilvl="0">
      <w:startOverride w:val="1"/>
    </w:lvlOverride>
  </w:num>
  <w:num w:numId="14" w16cid:durableId="2049449418">
    <w:abstractNumId w:val="3"/>
    <w:lvlOverride w:ilvl="0">
      <w:startOverride w:val="1"/>
    </w:lvlOverride>
  </w:num>
  <w:num w:numId="15" w16cid:durableId="337510458">
    <w:abstractNumId w:val="6"/>
    <w:lvlOverride w:ilvl="0">
      <w:startOverride w:val="1"/>
    </w:lvlOverride>
  </w:num>
  <w:num w:numId="16" w16cid:durableId="539366866">
    <w:abstractNumId w:val="10"/>
  </w:num>
  <w:num w:numId="17" w16cid:durableId="1838032482">
    <w:abstractNumId w:val="7"/>
  </w:num>
  <w:num w:numId="18" w16cid:durableId="1824808962">
    <w:abstractNumId w:val="11"/>
    <w:lvlOverride w:ilvl="0">
      <w:startOverride w:val="1"/>
    </w:lvlOverride>
  </w:num>
  <w:num w:numId="19" w16cid:durableId="126553842">
    <w:abstractNumId w:val="11"/>
    <w:lvlOverride w:ilvl="0">
      <w:startOverride w:val="1"/>
    </w:lvlOverride>
  </w:num>
  <w:num w:numId="20" w16cid:durableId="62990744">
    <w:abstractNumId w:val="11"/>
    <w:lvlOverride w:ilvl="0">
      <w:startOverride w:val="1"/>
    </w:lvlOverride>
  </w:num>
  <w:num w:numId="21" w16cid:durableId="39867073">
    <w:abstractNumId w:val="11"/>
    <w:lvlOverride w:ilvl="0">
      <w:startOverride w:val="1"/>
    </w:lvlOverride>
  </w:num>
  <w:num w:numId="22" w16cid:durableId="1617907828">
    <w:abstractNumId w:val="11"/>
    <w:lvlOverride w:ilvl="0">
      <w:startOverride w:val="1"/>
    </w:lvlOverride>
  </w:num>
  <w:num w:numId="23" w16cid:durableId="670329600">
    <w:abstractNumId w:val="12"/>
    <w:lvlOverride w:ilvl="0">
      <w:startOverride w:val="1"/>
    </w:lvlOverride>
  </w:num>
  <w:num w:numId="24" w16cid:durableId="280574620">
    <w:abstractNumId w:val="11"/>
    <w:lvlOverride w:ilvl="0">
      <w:startOverride w:val="1"/>
    </w:lvlOverride>
  </w:num>
  <w:num w:numId="25" w16cid:durableId="974480584">
    <w:abstractNumId w:val="12"/>
    <w:lvlOverride w:ilvl="0">
      <w:startOverride w:val="1"/>
    </w:lvlOverride>
  </w:num>
  <w:num w:numId="26" w16cid:durableId="520431887">
    <w:abstractNumId w:val="11"/>
    <w:lvlOverride w:ilvl="0">
      <w:startOverride w:val="1"/>
    </w:lvlOverride>
  </w:num>
  <w:num w:numId="27" w16cid:durableId="1126390734">
    <w:abstractNumId w:val="1"/>
  </w:num>
  <w:num w:numId="28" w16cid:durableId="1861624663">
    <w:abstractNumId w:val="11"/>
    <w:lvlOverride w:ilvl="0">
      <w:startOverride w:val="1"/>
    </w:lvlOverride>
  </w:num>
  <w:num w:numId="29" w16cid:durableId="1665622047">
    <w:abstractNumId w:val="11"/>
    <w:lvlOverride w:ilvl="0">
      <w:startOverride w:val="1"/>
    </w:lvlOverride>
  </w:num>
  <w:num w:numId="30" w16cid:durableId="2140151411">
    <w:abstractNumId w:val="11"/>
    <w:lvlOverride w:ilvl="0">
      <w:startOverride w:val="1"/>
    </w:lvlOverride>
  </w:num>
  <w:num w:numId="31" w16cid:durableId="369034773">
    <w:abstractNumId w:val="11"/>
    <w:lvlOverride w:ilvl="0">
      <w:startOverride w:val="1"/>
    </w:lvlOverride>
  </w:num>
  <w:num w:numId="32" w16cid:durableId="1140732942">
    <w:abstractNumId w:val="11"/>
    <w:lvlOverride w:ilvl="0">
      <w:startOverride w:val="1"/>
    </w:lvlOverride>
  </w:num>
  <w:num w:numId="33" w16cid:durableId="1897007603">
    <w:abstractNumId w:val="12"/>
    <w:lvlOverride w:ilvl="0">
      <w:startOverride w:val="1"/>
    </w:lvlOverride>
  </w:num>
  <w:num w:numId="34" w16cid:durableId="1259218196">
    <w:abstractNumId w:val="8"/>
    <w:lvlOverride w:ilvl="0">
      <w:startOverride w:val="1"/>
    </w:lvlOverride>
  </w:num>
  <w:num w:numId="35" w16cid:durableId="1199928927">
    <w:abstractNumId w:val="8"/>
    <w:lvlOverride w:ilvl="0">
      <w:startOverride w:val="1"/>
    </w:lvlOverride>
  </w:num>
  <w:num w:numId="36" w16cid:durableId="1096944945">
    <w:abstractNumId w:val="8"/>
    <w:lvlOverride w:ilvl="0">
      <w:startOverride w:val="1"/>
    </w:lvlOverride>
  </w:num>
  <w:num w:numId="37" w16cid:durableId="986669497">
    <w:abstractNumId w:val="8"/>
    <w:lvlOverride w:ilvl="0">
      <w:startOverride w:val="1"/>
    </w:lvlOverride>
  </w:num>
  <w:num w:numId="38" w16cid:durableId="1587105615">
    <w:abstractNumId w:val="8"/>
    <w:lvlOverride w:ilvl="0">
      <w:startOverride w:val="1"/>
    </w:lvlOverride>
  </w:num>
  <w:num w:numId="39" w16cid:durableId="779566073">
    <w:abstractNumId w:val="8"/>
    <w:lvlOverride w:ilvl="0">
      <w:startOverride w:val="1"/>
    </w:lvlOverride>
  </w:num>
  <w:num w:numId="40" w16cid:durableId="2068717473">
    <w:abstractNumId w:val="8"/>
    <w:lvlOverride w:ilvl="0">
      <w:startOverride w:val="1"/>
    </w:lvlOverride>
  </w:num>
  <w:num w:numId="41" w16cid:durableId="1624186580">
    <w:abstractNumId w:val="8"/>
    <w:lvlOverride w:ilvl="0">
      <w:startOverride w:val="1"/>
    </w:lvlOverride>
  </w:num>
  <w:num w:numId="42" w16cid:durableId="1427968880">
    <w:abstractNumId w:val="8"/>
    <w:lvlOverride w:ilvl="0">
      <w:startOverride w:val="1"/>
    </w:lvlOverride>
  </w:num>
  <w:num w:numId="43" w16cid:durableId="958486809">
    <w:abstractNumId w:val="8"/>
    <w:lvlOverride w:ilvl="0">
      <w:startOverride w:val="1"/>
    </w:lvlOverride>
  </w:num>
  <w:num w:numId="44" w16cid:durableId="702176463">
    <w:abstractNumId w:val="8"/>
    <w:lvlOverride w:ilvl="0">
      <w:startOverride w:val="1"/>
    </w:lvlOverride>
  </w:num>
  <w:num w:numId="45" w16cid:durableId="472067291">
    <w:abstractNumId w:val="8"/>
    <w:lvlOverride w:ilvl="0">
      <w:startOverride w:val="1"/>
    </w:lvlOverride>
  </w:num>
  <w:num w:numId="46" w16cid:durableId="2039500552">
    <w:abstractNumId w:val="8"/>
    <w:lvlOverride w:ilvl="0">
      <w:startOverride w:val="1"/>
    </w:lvlOverride>
  </w:num>
  <w:num w:numId="47" w16cid:durableId="2039620174">
    <w:abstractNumId w:val="8"/>
    <w:lvlOverride w:ilvl="0">
      <w:startOverride w:val="1"/>
    </w:lvlOverride>
  </w:num>
  <w:num w:numId="48" w16cid:durableId="1372919044">
    <w:abstractNumId w:val="0"/>
    <w:lvlOverride w:ilvl="0">
      <w:startOverride w:val="1"/>
    </w:lvlOverride>
  </w:num>
  <w:num w:numId="49" w16cid:durableId="522941002">
    <w:abstractNumId w:val="14"/>
    <w:lvlOverride w:ilvl="0">
      <w:startOverride w:val="1"/>
    </w:lvlOverride>
  </w:num>
  <w:num w:numId="50" w16cid:durableId="679432892">
    <w:abstractNumId w:val="14"/>
    <w:lvlOverride w:ilvl="0">
      <w:startOverride w:val="1"/>
    </w:lvlOverride>
  </w:num>
  <w:num w:numId="51" w16cid:durableId="294259027">
    <w:abstractNumId w:val="14"/>
    <w:lvlOverride w:ilvl="0">
      <w:startOverride w:val="1"/>
    </w:lvlOverride>
  </w:num>
  <w:num w:numId="52" w16cid:durableId="895358006">
    <w:abstractNumId w:val="14"/>
    <w:lvlOverride w:ilvl="0">
      <w:startOverride w:val="1"/>
    </w:lvlOverride>
  </w:num>
  <w:num w:numId="53" w16cid:durableId="1942640074">
    <w:abstractNumId w:val="14"/>
    <w:lvlOverride w:ilvl="0">
      <w:startOverride w:val="1"/>
    </w:lvlOverride>
  </w:num>
  <w:num w:numId="54" w16cid:durableId="1426195145">
    <w:abstractNumId w:val="14"/>
    <w:lvlOverride w:ilvl="0">
      <w:startOverride w:val="1"/>
    </w:lvlOverride>
  </w:num>
  <w:num w:numId="55" w16cid:durableId="1943603642">
    <w:abstractNumId w:val="14"/>
    <w:lvlOverride w:ilvl="0">
      <w:startOverride w:val="1"/>
    </w:lvlOverride>
  </w:num>
  <w:num w:numId="56" w16cid:durableId="1765878414">
    <w:abstractNumId w:val="13"/>
    <w:lvlOverride w:ilvl="0">
      <w:startOverride w:val="1"/>
    </w:lvlOverride>
  </w:num>
  <w:num w:numId="57" w16cid:durableId="219437253">
    <w:abstractNumId w:val="14"/>
    <w:lvlOverride w:ilvl="0">
      <w:startOverride w:val="1"/>
    </w:lvlOverride>
  </w:num>
  <w:num w:numId="58" w16cid:durableId="885677264">
    <w:abstractNumId w:val="14"/>
    <w:lvlOverride w:ilvl="0">
      <w:startOverride w:val="1"/>
    </w:lvlOverride>
  </w:num>
  <w:num w:numId="59" w16cid:durableId="1354915853">
    <w:abstractNumId w:val="14"/>
    <w:lvlOverride w:ilvl="0">
      <w:startOverride w:val="1"/>
    </w:lvlOverride>
  </w:num>
  <w:num w:numId="60" w16cid:durableId="1270158603">
    <w:abstractNumId w:val="13"/>
    <w:lvlOverride w:ilvl="0">
      <w:startOverride w:val="1"/>
    </w:lvlOverride>
  </w:num>
  <w:num w:numId="61" w16cid:durableId="1200893135">
    <w:abstractNumId w:val="4"/>
    <w:lvlOverride w:ilvl="0">
      <w:startOverride w:val="1"/>
    </w:lvlOverride>
  </w:num>
  <w:num w:numId="62" w16cid:durableId="82460368">
    <w:abstractNumId w:val="5"/>
    <w:lvlOverride w:ilvl="0">
      <w:startOverride w:val="1"/>
    </w:lvlOverride>
  </w:num>
  <w:num w:numId="63" w16cid:durableId="2060936910">
    <w:abstractNumId w:val="5"/>
    <w:lvlOverride w:ilvl="0">
      <w:startOverride w:val="1"/>
    </w:lvlOverride>
  </w:num>
  <w:num w:numId="64" w16cid:durableId="999768913">
    <w:abstractNumId w:val="5"/>
    <w:lvlOverride w:ilvl="0">
      <w:startOverride w:val="1"/>
    </w:lvlOverride>
  </w:num>
  <w:num w:numId="65" w16cid:durableId="1812288009">
    <w:abstractNumId w:val="5"/>
    <w:lvlOverride w:ilvl="0">
      <w:startOverride w:val="1"/>
    </w:lvlOverride>
  </w:num>
  <w:num w:numId="66" w16cid:durableId="625084548">
    <w:abstractNumId w:val="5"/>
    <w:lvlOverride w:ilvl="0">
      <w:startOverride w:val="1"/>
    </w:lvlOverride>
  </w:num>
  <w:num w:numId="67" w16cid:durableId="137655201">
    <w:abstractNumId w:val="5"/>
    <w:lvlOverride w:ilvl="0">
      <w:startOverride w:val="1"/>
    </w:lvlOverride>
  </w:num>
  <w:num w:numId="68" w16cid:durableId="769397660">
    <w:abstractNumId w:val="5"/>
    <w:lvlOverride w:ilvl="0">
      <w:startOverride w:val="1"/>
    </w:lvlOverride>
  </w:num>
  <w:num w:numId="69" w16cid:durableId="727848782">
    <w:abstractNumId w:val="5"/>
    <w:lvlOverride w:ilvl="0">
      <w:startOverride w:val="1"/>
    </w:lvlOverride>
  </w:num>
  <w:num w:numId="70" w16cid:durableId="527183203">
    <w:abstractNumId w:val="4"/>
    <w:lvlOverride w:ilvl="0">
      <w:startOverride w:val="1"/>
    </w:lvlOverride>
  </w:num>
  <w:num w:numId="71" w16cid:durableId="588123086">
    <w:abstractNumId w:val="9"/>
    <w:lvlOverride w:ilvl="0">
      <w:startOverride w:val="1"/>
    </w:lvlOverride>
  </w:num>
  <w:num w:numId="72" w16cid:durableId="401484994">
    <w:abstractNumId w:val="9"/>
    <w:lvlOverride w:ilvl="0">
      <w:startOverride w:val="1"/>
    </w:lvlOverride>
  </w:num>
  <w:num w:numId="73" w16cid:durableId="925303341">
    <w:abstractNumId w:val="9"/>
    <w:lvlOverride w:ilvl="0">
      <w:startOverride w:val="1"/>
    </w:lvlOverride>
  </w:num>
  <w:num w:numId="74" w16cid:durableId="74061726">
    <w:abstractNumId w:val="9"/>
    <w:lvlOverride w:ilvl="0">
      <w:startOverride w:val="1"/>
    </w:lvlOverride>
  </w:num>
  <w:num w:numId="75" w16cid:durableId="553736949">
    <w:abstractNumId w:val="9"/>
    <w:lvlOverride w:ilvl="0">
      <w:startOverride w:val="1"/>
    </w:lvlOverride>
  </w:num>
  <w:num w:numId="76" w16cid:durableId="1129979333">
    <w:abstractNumId w:val="2"/>
    <w:lvlOverride w:ilvl="0">
      <w:startOverride w:val="1"/>
    </w:lvlOverride>
  </w:num>
  <w:num w:numId="77" w16cid:durableId="1974403243">
    <w:abstractNumId w:val="0"/>
    <w:lvlOverride w:ilvl="0">
      <w:startOverride w:val="1"/>
    </w:lvlOverride>
  </w:num>
  <w:num w:numId="78" w16cid:durableId="89350975">
    <w:abstractNumId w:val="0"/>
    <w:lvlOverride w:ilvl="0">
      <w:startOverride w:val="1"/>
    </w:lvlOverride>
  </w:num>
  <w:num w:numId="79" w16cid:durableId="1994599541">
    <w:abstractNumId w:val="0"/>
    <w:lvlOverride w:ilvl="0">
      <w:startOverride w:val="1"/>
    </w:lvlOverride>
  </w:num>
  <w:num w:numId="80" w16cid:durableId="2022008710">
    <w:abstractNumId w:val="0"/>
    <w:lvlOverride w:ilvl="0">
      <w:startOverride w:val="1"/>
    </w:lvlOverride>
  </w:num>
  <w:num w:numId="81" w16cid:durableId="1472210605">
    <w:abstractNumId w:val="0"/>
    <w:lvlOverride w:ilvl="0">
      <w:startOverride w:val="1"/>
    </w:lvlOverride>
  </w:num>
  <w:num w:numId="82" w16cid:durableId="123431464">
    <w:abstractNumId w:val="0"/>
    <w:lvlOverride w:ilvl="0">
      <w:startOverride w:val="1"/>
    </w:lvlOverride>
  </w:num>
  <w:num w:numId="83" w16cid:durableId="978731840">
    <w:abstractNumId w:val="0"/>
    <w:lvlOverride w:ilvl="0">
      <w:startOverride w:val="1"/>
    </w:lvlOverride>
  </w:num>
  <w:num w:numId="84" w16cid:durableId="718819601">
    <w:abstractNumId w:val="0"/>
    <w:lvlOverride w:ilvl="0">
      <w:startOverride w:val="1"/>
    </w:lvlOverride>
  </w:num>
  <w:num w:numId="85" w16cid:durableId="239755661">
    <w:abstractNumId w:val="16"/>
  </w:num>
  <w:num w:numId="86" w16cid:durableId="324091307">
    <w:abstractNumId w:val="15"/>
  </w:num>
  <w:numIdMacAtCleanup w:val="7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updateFields w:val="true"/>
  <w:zoom w:percent="8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55"/>
    <w:rsid w:val="000009FE"/>
    <w:rsid w:val="00000B4C"/>
    <w:rsid w:val="0000142E"/>
    <w:rsid w:val="000033DC"/>
    <w:rsid w:val="000051F2"/>
    <w:rsid w:val="0001069A"/>
    <w:rsid w:val="00011A03"/>
    <w:rsid w:val="000126C3"/>
    <w:rsid w:val="00012DAD"/>
    <w:rsid w:val="000158DE"/>
    <w:rsid w:val="00017FAA"/>
    <w:rsid w:val="00020F9A"/>
    <w:rsid w:val="0002296D"/>
    <w:rsid w:val="0002491C"/>
    <w:rsid w:val="00027597"/>
    <w:rsid w:val="00033EE9"/>
    <w:rsid w:val="00034639"/>
    <w:rsid w:val="0004046A"/>
    <w:rsid w:val="0004469D"/>
    <w:rsid w:val="00045A85"/>
    <w:rsid w:val="00045C66"/>
    <w:rsid w:val="00046240"/>
    <w:rsid w:val="00047588"/>
    <w:rsid w:val="000513F9"/>
    <w:rsid w:val="00055BFF"/>
    <w:rsid w:val="00057D2D"/>
    <w:rsid w:val="000647F5"/>
    <w:rsid w:val="0006494B"/>
    <w:rsid w:val="000676C9"/>
    <w:rsid w:val="00070229"/>
    <w:rsid w:val="000704BA"/>
    <w:rsid w:val="00073A5B"/>
    <w:rsid w:val="000741BD"/>
    <w:rsid w:val="00074EBC"/>
    <w:rsid w:val="000803B8"/>
    <w:rsid w:val="00080D68"/>
    <w:rsid w:val="0008125D"/>
    <w:rsid w:val="000815B9"/>
    <w:rsid w:val="00087F6F"/>
    <w:rsid w:val="00090573"/>
    <w:rsid w:val="00094B86"/>
    <w:rsid w:val="00095128"/>
    <w:rsid w:val="000968C2"/>
    <w:rsid w:val="000A0402"/>
    <w:rsid w:val="000A0889"/>
    <w:rsid w:val="000A0CF3"/>
    <w:rsid w:val="000A0D61"/>
    <w:rsid w:val="000A348A"/>
    <w:rsid w:val="000A7DC8"/>
    <w:rsid w:val="000B0FF6"/>
    <w:rsid w:val="000B45D9"/>
    <w:rsid w:val="000B5AC1"/>
    <w:rsid w:val="000B7FF9"/>
    <w:rsid w:val="000C0300"/>
    <w:rsid w:val="000C0E4F"/>
    <w:rsid w:val="000C14B8"/>
    <w:rsid w:val="000C2213"/>
    <w:rsid w:val="000C2658"/>
    <w:rsid w:val="000C37B2"/>
    <w:rsid w:val="000C37DE"/>
    <w:rsid w:val="000C5371"/>
    <w:rsid w:val="000D2534"/>
    <w:rsid w:val="000D2969"/>
    <w:rsid w:val="000D3934"/>
    <w:rsid w:val="000D6A97"/>
    <w:rsid w:val="000F11B5"/>
    <w:rsid w:val="000F11CE"/>
    <w:rsid w:val="000F2565"/>
    <w:rsid w:val="000F2732"/>
    <w:rsid w:val="00103B0F"/>
    <w:rsid w:val="00103D1E"/>
    <w:rsid w:val="00105468"/>
    <w:rsid w:val="001069C6"/>
    <w:rsid w:val="001119AA"/>
    <w:rsid w:val="0011354F"/>
    <w:rsid w:val="00114270"/>
    <w:rsid w:val="00117208"/>
    <w:rsid w:val="0012281D"/>
    <w:rsid w:val="001228AC"/>
    <w:rsid w:val="00124924"/>
    <w:rsid w:val="00126195"/>
    <w:rsid w:val="00135AB1"/>
    <w:rsid w:val="0013702E"/>
    <w:rsid w:val="001450CC"/>
    <w:rsid w:val="00145E81"/>
    <w:rsid w:val="00150338"/>
    <w:rsid w:val="00153C13"/>
    <w:rsid w:val="001545C0"/>
    <w:rsid w:val="00161466"/>
    <w:rsid w:val="001643E3"/>
    <w:rsid w:val="001658A4"/>
    <w:rsid w:val="00166654"/>
    <w:rsid w:val="00177271"/>
    <w:rsid w:val="0018074E"/>
    <w:rsid w:val="00180F96"/>
    <w:rsid w:val="00182118"/>
    <w:rsid w:val="0018462D"/>
    <w:rsid w:val="00185304"/>
    <w:rsid w:val="0018715B"/>
    <w:rsid w:val="001944A8"/>
    <w:rsid w:val="001976AE"/>
    <w:rsid w:val="001976E2"/>
    <w:rsid w:val="001A1C86"/>
    <w:rsid w:val="001A5BF0"/>
    <w:rsid w:val="001B248B"/>
    <w:rsid w:val="001B263C"/>
    <w:rsid w:val="001B5785"/>
    <w:rsid w:val="001B5C0B"/>
    <w:rsid w:val="001B6CA2"/>
    <w:rsid w:val="001C702A"/>
    <w:rsid w:val="001C7ED9"/>
    <w:rsid w:val="001D13DC"/>
    <w:rsid w:val="001D16A3"/>
    <w:rsid w:val="001D497F"/>
    <w:rsid w:val="001D59C9"/>
    <w:rsid w:val="001D7FE4"/>
    <w:rsid w:val="001E0E3E"/>
    <w:rsid w:val="001E1421"/>
    <w:rsid w:val="001E2203"/>
    <w:rsid w:val="001F0D85"/>
    <w:rsid w:val="001F485B"/>
    <w:rsid w:val="001F60D0"/>
    <w:rsid w:val="001F7227"/>
    <w:rsid w:val="001F7D8E"/>
    <w:rsid w:val="00200B26"/>
    <w:rsid w:val="00210E3C"/>
    <w:rsid w:val="002114CB"/>
    <w:rsid w:val="00211782"/>
    <w:rsid w:val="0021313A"/>
    <w:rsid w:val="00213340"/>
    <w:rsid w:val="0021610C"/>
    <w:rsid w:val="00217E82"/>
    <w:rsid w:val="00222C0D"/>
    <w:rsid w:val="00223C4C"/>
    <w:rsid w:val="00230F83"/>
    <w:rsid w:val="002318A5"/>
    <w:rsid w:val="00231E6A"/>
    <w:rsid w:val="00233EBF"/>
    <w:rsid w:val="0024707C"/>
    <w:rsid w:val="00252A05"/>
    <w:rsid w:val="00252C17"/>
    <w:rsid w:val="0025337A"/>
    <w:rsid w:val="002543AE"/>
    <w:rsid w:val="00254984"/>
    <w:rsid w:val="002551B0"/>
    <w:rsid w:val="002620B9"/>
    <w:rsid w:val="00262F28"/>
    <w:rsid w:val="002643DA"/>
    <w:rsid w:val="0026471F"/>
    <w:rsid w:val="00272847"/>
    <w:rsid w:val="00276D46"/>
    <w:rsid w:val="0028152D"/>
    <w:rsid w:val="0028261D"/>
    <w:rsid w:val="00283EA1"/>
    <w:rsid w:val="00293C73"/>
    <w:rsid w:val="00293E75"/>
    <w:rsid w:val="00293E78"/>
    <w:rsid w:val="00295876"/>
    <w:rsid w:val="00296C8D"/>
    <w:rsid w:val="00297CAB"/>
    <w:rsid w:val="002A1AAF"/>
    <w:rsid w:val="002B013C"/>
    <w:rsid w:val="002B3453"/>
    <w:rsid w:val="002C19FE"/>
    <w:rsid w:val="002C2690"/>
    <w:rsid w:val="002C36E3"/>
    <w:rsid w:val="002C617A"/>
    <w:rsid w:val="002C6C97"/>
    <w:rsid w:val="002C72D6"/>
    <w:rsid w:val="002D0D95"/>
    <w:rsid w:val="002D1097"/>
    <w:rsid w:val="002D5CEC"/>
    <w:rsid w:val="002E0A9D"/>
    <w:rsid w:val="002E3176"/>
    <w:rsid w:val="002E369D"/>
    <w:rsid w:val="002E3A7A"/>
    <w:rsid w:val="002E47E1"/>
    <w:rsid w:val="002E55E6"/>
    <w:rsid w:val="002F1D04"/>
    <w:rsid w:val="002F1DEB"/>
    <w:rsid w:val="0030397D"/>
    <w:rsid w:val="0030582E"/>
    <w:rsid w:val="00305855"/>
    <w:rsid w:val="003113D3"/>
    <w:rsid w:val="00312358"/>
    <w:rsid w:val="0031723D"/>
    <w:rsid w:val="00325981"/>
    <w:rsid w:val="00326050"/>
    <w:rsid w:val="0032700C"/>
    <w:rsid w:val="0033076E"/>
    <w:rsid w:val="00331421"/>
    <w:rsid w:val="00331E40"/>
    <w:rsid w:val="00331F1B"/>
    <w:rsid w:val="003321FB"/>
    <w:rsid w:val="003338CB"/>
    <w:rsid w:val="00336911"/>
    <w:rsid w:val="003427D2"/>
    <w:rsid w:val="00344F1B"/>
    <w:rsid w:val="00356063"/>
    <w:rsid w:val="00360405"/>
    <w:rsid w:val="0037076D"/>
    <w:rsid w:val="003713C4"/>
    <w:rsid w:val="003733E8"/>
    <w:rsid w:val="00373B48"/>
    <w:rsid w:val="0037408E"/>
    <w:rsid w:val="00383879"/>
    <w:rsid w:val="00385093"/>
    <w:rsid w:val="00387C05"/>
    <w:rsid w:val="00387F2C"/>
    <w:rsid w:val="00391F0A"/>
    <w:rsid w:val="00392B83"/>
    <w:rsid w:val="00393E73"/>
    <w:rsid w:val="00396EBC"/>
    <w:rsid w:val="00397B5B"/>
    <w:rsid w:val="003A262E"/>
    <w:rsid w:val="003A2FF0"/>
    <w:rsid w:val="003A57F6"/>
    <w:rsid w:val="003B56D3"/>
    <w:rsid w:val="003B7F59"/>
    <w:rsid w:val="003C0B77"/>
    <w:rsid w:val="003C1FA6"/>
    <w:rsid w:val="003C3C73"/>
    <w:rsid w:val="003C4FBE"/>
    <w:rsid w:val="003D3F7A"/>
    <w:rsid w:val="003E07B9"/>
    <w:rsid w:val="003E5847"/>
    <w:rsid w:val="003E6CD8"/>
    <w:rsid w:val="003F3E9A"/>
    <w:rsid w:val="003F45A3"/>
    <w:rsid w:val="004000C5"/>
    <w:rsid w:val="00401AB9"/>
    <w:rsid w:val="00403F16"/>
    <w:rsid w:val="00404A3D"/>
    <w:rsid w:val="004107E1"/>
    <w:rsid w:val="0041241E"/>
    <w:rsid w:val="00413DB3"/>
    <w:rsid w:val="00416D8C"/>
    <w:rsid w:val="00417304"/>
    <w:rsid w:val="00422A14"/>
    <w:rsid w:val="00424F34"/>
    <w:rsid w:val="00427084"/>
    <w:rsid w:val="0043431B"/>
    <w:rsid w:val="00436089"/>
    <w:rsid w:val="004361CF"/>
    <w:rsid w:val="004401BA"/>
    <w:rsid w:val="00441C9D"/>
    <w:rsid w:val="004440CF"/>
    <w:rsid w:val="0044531D"/>
    <w:rsid w:val="00446B43"/>
    <w:rsid w:val="00453FBD"/>
    <w:rsid w:val="00467294"/>
    <w:rsid w:val="00467D46"/>
    <w:rsid w:val="0047737E"/>
    <w:rsid w:val="004845A3"/>
    <w:rsid w:val="004900ED"/>
    <w:rsid w:val="00490BC8"/>
    <w:rsid w:val="00490CCC"/>
    <w:rsid w:val="004945CD"/>
    <w:rsid w:val="00495256"/>
    <w:rsid w:val="004A3BF8"/>
    <w:rsid w:val="004A4F17"/>
    <w:rsid w:val="004A73CD"/>
    <w:rsid w:val="004A7ACD"/>
    <w:rsid w:val="004B03F9"/>
    <w:rsid w:val="004B07F7"/>
    <w:rsid w:val="004B0FDF"/>
    <w:rsid w:val="004B49F9"/>
    <w:rsid w:val="004C1DCA"/>
    <w:rsid w:val="004C3B5A"/>
    <w:rsid w:val="004C5BF7"/>
    <w:rsid w:val="004D14A7"/>
    <w:rsid w:val="004D1E40"/>
    <w:rsid w:val="004D1F1A"/>
    <w:rsid w:val="004D2563"/>
    <w:rsid w:val="004D3D2B"/>
    <w:rsid w:val="004D4BAC"/>
    <w:rsid w:val="004D500F"/>
    <w:rsid w:val="004D7A45"/>
    <w:rsid w:val="004E0E35"/>
    <w:rsid w:val="004E2C44"/>
    <w:rsid w:val="004E4130"/>
    <w:rsid w:val="004E5F03"/>
    <w:rsid w:val="004E711E"/>
    <w:rsid w:val="004E7B69"/>
    <w:rsid w:val="004F09DE"/>
    <w:rsid w:val="004F2643"/>
    <w:rsid w:val="004F69BA"/>
    <w:rsid w:val="004F6F6C"/>
    <w:rsid w:val="005104F9"/>
    <w:rsid w:val="00514A56"/>
    <w:rsid w:val="00514E02"/>
    <w:rsid w:val="00517089"/>
    <w:rsid w:val="005177E4"/>
    <w:rsid w:val="005179E7"/>
    <w:rsid w:val="00520DFD"/>
    <w:rsid w:val="00521106"/>
    <w:rsid w:val="005276D4"/>
    <w:rsid w:val="00536585"/>
    <w:rsid w:val="0054187D"/>
    <w:rsid w:val="005425A3"/>
    <w:rsid w:val="00546901"/>
    <w:rsid w:val="00550C39"/>
    <w:rsid w:val="00551BAF"/>
    <w:rsid w:val="00557435"/>
    <w:rsid w:val="00557642"/>
    <w:rsid w:val="0055777E"/>
    <w:rsid w:val="005613E5"/>
    <w:rsid w:val="005620B2"/>
    <w:rsid w:val="00566BA9"/>
    <w:rsid w:val="00571ABE"/>
    <w:rsid w:val="005852F2"/>
    <w:rsid w:val="005904A6"/>
    <w:rsid w:val="00591F49"/>
    <w:rsid w:val="005B1EFD"/>
    <w:rsid w:val="005B427D"/>
    <w:rsid w:val="005B4355"/>
    <w:rsid w:val="005B45C1"/>
    <w:rsid w:val="005B743A"/>
    <w:rsid w:val="005B775C"/>
    <w:rsid w:val="005C30F1"/>
    <w:rsid w:val="005C353A"/>
    <w:rsid w:val="005C48C5"/>
    <w:rsid w:val="005C5BF0"/>
    <w:rsid w:val="005C6F4C"/>
    <w:rsid w:val="005D00AC"/>
    <w:rsid w:val="005D0B41"/>
    <w:rsid w:val="005D11E1"/>
    <w:rsid w:val="005E18F2"/>
    <w:rsid w:val="005E1FC3"/>
    <w:rsid w:val="005E264E"/>
    <w:rsid w:val="005E4CDC"/>
    <w:rsid w:val="005E5286"/>
    <w:rsid w:val="005F23DD"/>
    <w:rsid w:val="005F36C3"/>
    <w:rsid w:val="005F6771"/>
    <w:rsid w:val="005F73AB"/>
    <w:rsid w:val="00601183"/>
    <w:rsid w:val="00601BDE"/>
    <w:rsid w:val="006072AF"/>
    <w:rsid w:val="00612A58"/>
    <w:rsid w:val="0062438C"/>
    <w:rsid w:val="00625438"/>
    <w:rsid w:val="00630819"/>
    <w:rsid w:val="00630A87"/>
    <w:rsid w:val="00635B0C"/>
    <w:rsid w:val="00635F87"/>
    <w:rsid w:val="00636B06"/>
    <w:rsid w:val="006378B0"/>
    <w:rsid w:val="0064163A"/>
    <w:rsid w:val="00646701"/>
    <w:rsid w:val="00646B05"/>
    <w:rsid w:val="0065182E"/>
    <w:rsid w:val="006519EA"/>
    <w:rsid w:val="0065267C"/>
    <w:rsid w:val="00654CFD"/>
    <w:rsid w:val="006566A7"/>
    <w:rsid w:val="006618C2"/>
    <w:rsid w:val="00663D3B"/>
    <w:rsid w:val="00664DCA"/>
    <w:rsid w:val="00670552"/>
    <w:rsid w:val="0067132B"/>
    <w:rsid w:val="006739A7"/>
    <w:rsid w:val="00674BF9"/>
    <w:rsid w:val="0067641B"/>
    <w:rsid w:val="00676504"/>
    <w:rsid w:val="006767BB"/>
    <w:rsid w:val="00682204"/>
    <w:rsid w:val="00684C75"/>
    <w:rsid w:val="0068790B"/>
    <w:rsid w:val="00692A41"/>
    <w:rsid w:val="006B0274"/>
    <w:rsid w:val="006B14C9"/>
    <w:rsid w:val="006B45B2"/>
    <w:rsid w:val="006B6892"/>
    <w:rsid w:val="006B6C34"/>
    <w:rsid w:val="006B73BA"/>
    <w:rsid w:val="006C0785"/>
    <w:rsid w:val="006C17A6"/>
    <w:rsid w:val="006C2B22"/>
    <w:rsid w:val="006C3AC3"/>
    <w:rsid w:val="006C602F"/>
    <w:rsid w:val="006C6714"/>
    <w:rsid w:val="006C6E36"/>
    <w:rsid w:val="006D24F2"/>
    <w:rsid w:val="006D43C8"/>
    <w:rsid w:val="006D4D61"/>
    <w:rsid w:val="006D5F60"/>
    <w:rsid w:val="006D6F91"/>
    <w:rsid w:val="006D7385"/>
    <w:rsid w:val="006D73A6"/>
    <w:rsid w:val="006D7A69"/>
    <w:rsid w:val="006E2A45"/>
    <w:rsid w:val="006E504E"/>
    <w:rsid w:val="006E50BD"/>
    <w:rsid w:val="006F3283"/>
    <w:rsid w:val="006F5371"/>
    <w:rsid w:val="006F546D"/>
    <w:rsid w:val="006F75AF"/>
    <w:rsid w:val="00703BF6"/>
    <w:rsid w:val="007042AC"/>
    <w:rsid w:val="00705B3F"/>
    <w:rsid w:val="00712EDD"/>
    <w:rsid w:val="00714690"/>
    <w:rsid w:val="007159CD"/>
    <w:rsid w:val="007162F4"/>
    <w:rsid w:val="00720EE0"/>
    <w:rsid w:val="00722A75"/>
    <w:rsid w:val="00723944"/>
    <w:rsid w:val="00723C7B"/>
    <w:rsid w:val="007306BB"/>
    <w:rsid w:val="007318F0"/>
    <w:rsid w:val="00735AA7"/>
    <w:rsid w:val="0074329A"/>
    <w:rsid w:val="00747EF1"/>
    <w:rsid w:val="0075509E"/>
    <w:rsid w:val="00755A03"/>
    <w:rsid w:val="00764D11"/>
    <w:rsid w:val="00771C03"/>
    <w:rsid w:val="00783EB6"/>
    <w:rsid w:val="00784957"/>
    <w:rsid w:val="00785D2D"/>
    <w:rsid w:val="0079089D"/>
    <w:rsid w:val="00790AB8"/>
    <w:rsid w:val="00797DEF"/>
    <w:rsid w:val="007A3301"/>
    <w:rsid w:val="007A4A5B"/>
    <w:rsid w:val="007A5E9B"/>
    <w:rsid w:val="007B1512"/>
    <w:rsid w:val="007B4796"/>
    <w:rsid w:val="007B5D33"/>
    <w:rsid w:val="007C1B82"/>
    <w:rsid w:val="007D08DC"/>
    <w:rsid w:val="007D20E6"/>
    <w:rsid w:val="007D5962"/>
    <w:rsid w:val="007D63D6"/>
    <w:rsid w:val="007D66F5"/>
    <w:rsid w:val="007E2FB1"/>
    <w:rsid w:val="007F04CD"/>
    <w:rsid w:val="007F5ACF"/>
    <w:rsid w:val="007F5EBB"/>
    <w:rsid w:val="007F669E"/>
    <w:rsid w:val="007F7222"/>
    <w:rsid w:val="008027BC"/>
    <w:rsid w:val="0080496F"/>
    <w:rsid w:val="0080676D"/>
    <w:rsid w:val="00815A60"/>
    <w:rsid w:val="0081687F"/>
    <w:rsid w:val="008169B5"/>
    <w:rsid w:val="0082031E"/>
    <w:rsid w:val="008209CA"/>
    <w:rsid w:val="00823262"/>
    <w:rsid w:val="00825AF6"/>
    <w:rsid w:val="00825B93"/>
    <w:rsid w:val="00825DC6"/>
    <w:rsid w:val="0082771E"/>
    <w:rsid w:val="00830A5B"/>
    <w:rsid w:val="00832FA3"/>
    <w:rsid w:val="0083781D"/>
    <w:rsid w:val="00837A96"/>
    <w:rsid w:val="008432D3"/>
    <w:rsid w:val="00843881"/>
    <w:rsid w:val="00845E52"/>
    <w:rsid w:val="00847772"/>
    <w:rsid w:val="00847F36"/>
    <w:rsid w:val="008520AD"/>
    <w:rsid w:val="008523D9"/>
    <w:rsid w:val="008535CB"/>
    <w:rsid w:val="008556FE"/>
    <w:rsid w:val="00861FEA"/>
    <w:rsid w:val="008724E9"/>
    <w:rsid w:val="00872E7D"/>
    <w:rsid w:val="008739E4"/>
    <w:rsid w:val="00874188"/>
    <w:rsid w:val="008756DD"/>
    <w:rsid w:val="00880C25"/>
    <w:rsid w:val="00882CB5"/>
    <w:rsid w:val="00885AE0"/>
    <w:rsid w:val="0089157C"/>
    <w:rsid w:val="00891A6F"/>
    <w:rsid w:val="00893C5A"/>
    <w:rsid w:val="00895944"/>
    <w:rsid w:val="00895E69"/>
    <w:rsid w:val="008973C4"/>
    <w:rsid w:val="008A1A85"/>
    <w:rsid w:val="008A5D7B"/>
    <w:rsid w:val="008A63E1"/>
    <w:rsid w:val="008B1AE5"/>
    <w:rsid w:val="008B4644"/>
    <w:rsid w:val="008B4B4A"/>
    <w:rsid w:val="008B6F98"/>
    <w:rsid w:val="008C3A44"/>
    <w:rsid w:val="008C3C1A"/>
    <w:rsid w:val="008C74CC"/>
    <w:rsid w:val="008D1117"/>
    <w:rsid w:val="008D33DE"/>
    <w:rsid w:val="008D4B74"/>
    <w:rsid w:val="008E0DF7"/>
    <w:rsid w:val="008E12E7"/>
    <w:rsid w:val="008E4A8C"/>
    <w:rsid w:val="008E4E93"/>
    <w:rsid w:val="008F02D5"/>
    <w:rsid w:val="008F35D0"/>
    <w:rsid w:val="009038EC"/>
    <w:rsid w:val="0090616C"/>
    <w:rsid w:val="009102A5"/>
    <w:rsid w:val="00911526"/>
    <w:rsid w:val="00915CA1"/>
    <w:rsid w:val="009207D3"/>
    <w:rsid w:val="0092665D"/>
    <w:rsid w:val="00927885"/>
    <w:rsid w:val="009305D1"/>
    <w:rsid w:val="00933F1E"/>
    <w:rsid w:val="0093507D"/>
    <w:rsid w:val="00941105"/>
    <w:rsid w:val="00941ADD"/>
    <w:rsid w:val="00941F12"/>
    <w:rsid w:val="00943015"/>
    <w:rsid w:val="009523DA"/>
    <w:rsid w:val="0095429B"/>
    <w:rsid w:val="0095551A"/>
    <w:rsid w:val="00957B4A"/>
    <w:rsid w:val="0096044F"/>
    <w:rsid w:val="00963126"/>
    <w:rsid w:val="009638B2"/>
    <w:rsid w:val="00965635"/>
    <w:rsid w:val="00967089"/>
    <w:rsid w:val="009678E7"/>
    <w:rsid w:val="00973C96"/>
    <w:rsid w:val="00977E85"/>
    <w:rsid w:val="009814C6"/>
    <w:rsid w:val="0098362E"/>
    <w:rsid w:val="00984CB8"/>
    <w:rsid w:val="00986778"/>
    <w:rsid w:val="00991512"/>
    <w:rsid w:val="00994E29"/>
    <w:rsid w:val="009A03B0"/>
    <w:rsid w:val="009A1AB4"/>
    <w:rsid w:val="009A1C19"/>
    <w:rsid w:val="009A533F"/>
    <w:rsid w:val="009A7103"/>
    <w:rsid w:val="009B087A"/>
    <w:rsid w:val="009B1637"/>
    <w:rsid w:val="009B1D44"/>
    <w:rsid w:val="009B202E"/>
    <w:rsid w:val="009B41F1"/>
    <w:rsid w:val="009B7DE1"/>
    <w:rsid w:val="009D04AB"/>
    <w:rsid w:val="009D15D9"/>
    <w:rsid w:val="009D3837"/>
    <w:rsid w:val="009D7904"/>
    <w:rsid w:val="009D7989"/>
    <w:rsid w:val="009E0BE1"/>
    <w:rsid w:val="009E22C0"/>
    <w:rsid w:val="009E54AA"/>
    <w:rsid w:val="009E5979"/>
    <w:rsid w:val="009E7F0A"/>
    <w:rsid w:val="009F1BA9"/>
    <w:rsid w:val="009F2DCD"/>
    <w:rsid w:val="00A026EA"/>
    <w:rsid w:val="00A03A80"/>
    <w:rsid w:val="00A151BD"/>
    <w:rsid w:val="00A157E9"/>
    <w:rsid w:val="00A17AE2"/>
    <w:rsid w:val="00A17E3A"/>
    <w:rsid w:val="00A23643"/>
    <w:rsid w:val="00A24291"/>
    <w:rsid w:val="00A25B6E"/>
    <w:rsid w:val="00A27B58"/>
    <w:rsid w:val="00A325DD"/>
    <w:rsid w:val="00A32F4C"/>
    <w:rsid w:val="00A33054"/>
    <w:rsid w:val="00A33A87"/>
    <w:rsid w:val="00A342D4"/>
    <w:rsid w:val="00A34DBF"/>
    <w:rsid w:val="00A3531A"/>
    <w:rsid w:val="00A430FF"/>
    <w:rsid w:val="00A43EC7"/>
    <w:rsid w:val="00A45AEA"/>
    <w:rsid w:val="00A51D5A"/>
    <w:rsid w:val="00A5268B"/>
    <w:rsid w:val="00A54B61"/>
    <w:rsid w:val="00A55AE2"/>
    <w:rsid w:val="00A55C28"/>
    <w:rsid w:val="00A57193"/>
    <w:rsid w:val="00A60983"/>
    <w:rsid w:val="00A60B35"/>
    <w:rsid w:val="00A64D18"/>
    <w:rsid w:val="00A6536A"/>
    <w:rsid w:val="00A660F0"/>
    <w:rsid w:val="00A706D5"/>
    <w:rsid w:val="00A71CFE"/>
    <w:rsid w:val="00A73311"/>
    <w:rsid w:val="00A779C6"/>
    <w:rsid w:val="00A83D4E"/>
    <w:rsid w:val="00A8415A"/>
    <w:rsid w:val="00A86367"/>
    <w:rsid w:val="00A87021"/>
    <w:rsid w:val="00A87142"/>
    <w:rsid w:val="00A91555"/>
    <w:rsid w:val="00A93041"/>
    <w:rsid w:val="00A95218"/>
    <w:rsid w:val="00A96679"/>
    <w:rsid w:val="00AA27A5"/>
    <w:rsid w:val="00AA4074"/>
    <w:rsid w:val="00AB052C"/>
    <w:rsid w:val="00AB2663"/>
    <w:rsid w:val="00AB3D46"/>
    <w:rsid w:val="00AB42BF"/>
    <w:rsid w:val="00AB606B"/>
    <w:rsid w:val="00AC20D5"/>
    <w:rsid w:val="00AC4084"/>
    <w:rsid w:val="00AC5EF6"/>
    <w:rsid w:val="00AD0D57"/>
    <w:rsid w:val="00AD1AB9"/>
    <w:rsid w:val="00AD26FC"/>
    <w:rsid w:val="00AE0493"/>
    <w:rsid w:val="00AE0DD5"/>
    <w:rsid w:val="00AE0F34"/>
    <w:rsid w:val="00AE13B8"/>
    <w:rsid w:val="00AE2B36"/>
    <w:rsid w:val="00AE4AC2"/>
    <w:rsid w:val="00AE4FAF"/>
    <w:rsid w:val="00AE50CC"/>
    <w:rsid w:val="00AE5AC1"/>
    <w:rsid w:val="00AE6B0F"/>
    <w:rsid w:val="00AF464A"/>
    <w:rsid w:val="00B003CC"/>
    <w:rsid w:val="00B1008A"/>
    <w:rsid w:val="00B12EFE"/>
    <w:rsid w:val="00B154FD"/>
    <w:rsid w:val="00B21803"/>
    <w:rsid w:val="00B218C3"/>
    <w:rsid w:val="00B24D1D"/>
    <w:rsid w:val="00B334D4"/>
    <w:rsid w:val="00B34AE6"/>
    <w:rsid w:val="00B34C63"/>
    <w:rsid w:val="00B367EF"/>
    <w:rsid w:val="00B4172A"/>
    <w:rsid w:val="00B439A3"/>
    <w:rsid w:val="00B4457E"/>
    <w:rsid w:val="00B454D5"/>
    <w:rsid w:val="00B45E55"/>
    <w:rsid w:val="00B46E61"/>
    <w:rsid w:val="00B52CC1"/>
    <w:rsid w:val="00B53A8F"/>
    <w:rsid w:val="00B55863"/>
    <w:rsid w:val="00B55930"/>
    <w:rsid w:val="00B55CBD"/>
    <w:rsid w:val="00B65808"/>
    <w:rsid w:val="00B66198"/>
    <w:rsid w:val="00B718E0"/>
    <w:rsid w:val="00B72A48"/>
    <w:rsid w:val="00B72D91"/>
    <w:rsid w:val="00B8099E"/>
    <w:rsid w:val="00B823EA"/>
    <w:rsid w:val="00B82D4A"/>
    <w:rsid w:val="00B8746B"/>
    <w:rsid w:val="00B91975"/>
    <w:rsid w:val="00B9320E"/>
    <w:rsid w:val="00B9359D"/>
    <w:rsid w:val="00B975FC"/>
    <w:rsid w:val="00BB2D23"/>
    <w:rsid w:val="00BC0676"/>
    <w:rsid w:val="00BC4688"/>
    <w:rsid w:val="00BC6D02"/>
    <w:rsid w:val="00BC6D85"/>
    <w:rsid w:val="00BC737D"/>
    <w:rsid w:val="00BD170F"/>
    <w:rsid w:val="00BD2C52"/>
    <w:rsid w:val="00BD361A"/>
    <w:rsid w:val="00BD508A"/>
    <w:rsid w:val="00BE2CFE"/>
    <w:rsid w:val="00BE4617"/>
    <w:rsid w:val="00BE557E"/>
    <w:rsid w:val="00BE5EA5"/>
    <w:rsid w:val="00BF289A"/>
    <w:rsid w:val="00C0129A"/>
    <w:rsid w:val="00C015CF"/>
    <w:rsid w:val="00C152D1"/>
    <w:rsid w:val="00C15F45"/>
    <w:rsid w:val="00C17120"/>
    <w:rsid w:val="00C252D6"/>
    <w:rsid w:val="00C25D83"/>
    <w:rsid w:val="00C26905"/>
    <w:rsid w:val="00C36526"/>
    <w:rsid w:val="00C36DD0"/>
    <w:rsid w:val="00C37511"/>
    <w:rsid w:val="00C411DB"/>
    <w:rsid w:val="00C43ACF"/>
    <w:rsid w:val="00C43E89"/>
    <w:rsid w:val="00C450BC"/>
    <w:rsid w:val="00C46CB0"/>
    <w:rsid w:val="00C47916"/>
    <w:rsid w:val="00C50DCB"/>
    <w:rsid w:val="00C50FE5"/>
    <w:rsid w:val="00C51403"/>
    <w:rsid w:val="00C539ED"/>
    <w:rsid w:val="00C541B6"/>
    <w:rsid w:val="00C61C69"/>
    <w:rsid w:val="00C6368F"/>
    <w:rsid w:val="00C70060"/>
    <w:rsid w:val="00C8098B"/>
    <w:rsid w:val="00C829C9"/>
    <w:rsid w:val="00C83F4F"/>
    <w:rsid w:val="00C86D14"/>
    <w:rsid w:val="00C870C2"/>
    <w:rsid w:val="00C93EF3"/>
    <w:rsid w:val="00C953D0"/>
    <w:rsid w:val="00CA0ACF"/>
    <w:rsid w:val="00CA3B1D"/>
    <w:rsid w:val="00CA55BF"/>
    <w:rsid w:val="00CA664C"/>
    <w:rsid w:val="00CB0107"/>
    <w:rsid w:val="00CB0471"/>
    <w:rsid w:val="00CB08B0"/>
    <w:rsid w:val="00CB0A23"/>
    <w:rsid w:val="00CB150E"/>
    <w:rsid w:val="00CB4503"/>
    <w:rsid w:val="00CB5A9A"/>
    <w:rsid w:val="00CC25A6"/>
    <w:rsid w:val="00CC4DB4"/>
    <w:rsid w:val="00CC51C5"/>
    <w:rsid w:val="00CC73EA"/>
    <w:rsid w:val="00CD2BFB"/>
    <w:rsid w:val="00CD67BD"/>
    <w:rsid w:val="00CD7C7A"/>
    <w:rsid w:val="00CE0818"/>
    <w:rsid w:val="00CE66D7"/>
    <w:rsid w:val="00CE6715"/>
    <w:rsid w:val="00CE6CD1"/>
    <w:rsid w:val="00CE6D0C"/>
    <w:rsid w:val="00CE7E90"/>
    <w:rsid w:val="00CF0E66"/>
    <w:rsid w:val="00CF1C13"/>
    <w:rsid w:val="00D008E1"/>
    <w:rsid w:val="00D114D3"/>
    <w:rsid w:val="00D1249D"/>
    <w:rsid w:val="00D21971"/>
    <w:rsid w:val="00D2490A"/>
    <w:rsid w:val="00D2582A"/>
    <w:rsid w:val="00D30DC8"/>
    <w:rsid w:val="00D3171F"/>
    <w:rsid w:val="00D35E91"/>
    <w:rsid w:val="00D361F9"/>
    <w:rsid w:val="00D372B5"/>
    <w:rsid w:val="00D42A83"/>
    <w:rsid w:val="00D45F4D"/>
    <w:rsid w:val="00D462C8"/>
    <w:rsid w:val="00D468A9"/>
    <w:rsid w:val="00D51710"/>
    <w:rsid w:val="00D522F4"/>
    <w:rsid w:val="00D52681"/>
    <w:rsid w:val="00D5287B"/>
    <w:rsid w:val="00D54BC1"/>
    <w:rsid w:val="00D623AA"/>
    <w:rsid w:val="00D62550"/>
    <w:rsid w:val="00D6367C"/>
    <w:rsid w:val="00D63F55"/>
    <w:rsid w:val="00D6621C"/>
    <w:rsid w:val="00D70E9F"/>
    <w:rsid w:val="00D713E6"/>
    <w:rsid w:val="00D7209D"/>
    <w:rsid w:val="00D73A46"/>
    <w:rsid w:val="00D74A66"/>
    <w:rsid w:val="00D74BC8"/>
    <w:rsid w:val="00D76785"/>
    <w:rsid w:val="00D76D8F"/>
    <w:rsid w:val="00D773DD"/>
    <w:rsid w:val="00D9235B"/>
    <w:rsid w:val="00D924DA"/>
    <w:rsid w:val="00D932C0"/>
    <w:rsid w:val="00D9649D"/>
    <w:rsid w:val="00D97794"/>
    <w:rsid w:val="00D97AEE"/>
    <w:rsid w:val="00DA578C"/>
    <w:rsid w:val="00DA58C4"/>
    <w:rsid w:val="00DA5CF5"/>
    <w:rsid w:val="00DB11E2"/>
    <w:rsid w:val="00DB384A"/>
    <w:rsid w:val="00DB5A3E"/>
    <w:rsid w:val="00DC3AC6"/>
    <w:rsid w:val="00DC6590"/>
    <w:rsid w:val="00DC7D42"/>
    <w:rsid w:val="00DE03A5"/>
    <w:rsid w:val="00DE34AA"/>
    <w:rsid w:val="00DE4282"/>
    <w:rsid w:val="00DE62D5"/>
    <w:rsid w:val="00DE7D71"/>
    <w:rsid w:val="00DF4009"/>
    <w:rsid w:val="00DF6CDA"/>
    <w:rsid w:val="00E00B8D"/>
    <w:rsid w:val="00E015FA"/>
    <w:rsid w:val="00E03C9D"/>
    <w:rsid w:val="00E04FCA"/>
    <w:rsid w:val="00E132B0"/>
    <w:rsid w:val="00E14D3B"/>
    <w:rsid w:val="00E15E27"/>
    <w:rsid w:val="00E176CA"/>
    <w:rsid w:val="00E24CE3"/>
    <w:rsid w:val="00E300C5"/>
    <w:rsid w:val="00E40964"/>
    <w:rsid w:val="00E41297"/>
    <w:rsid w:val="00E4323D"/>
    <w:rsid w:val="00E463AB"/>
    <w:rsid w:val="00E466D7"/>
    <w:rsid w:val="00E538B7"/>
    <w:rsid w:val="00E54A5C"/>
    <w:rsid w:val="00E558F8"/>
    <w:rsid w:val="00E57443"/>
    <w:rsid w:val="00E6230A"/>
    <w:rsid w:val="00E65BD9"/>
    <w:rsid w:val="00E664DA"/>
    <w:rsid w:val="00E71213"/>
    <w:rsid w:val="00E7190B"/>
    <w:rsid w:val="00E76498"/>
    <w:rsid w:val="00E80190"/>
    <w:rsid w:val="00E810BB"/>
    <w:rsid w:val="00E8635B"/>
    <w:rsid w:val="00E8757E"/>
    <w:rsid w:val="00E90DDF"/>
    <w:rsid w:val="00E9272D"/>
    <w:rsid w:val="00E93077"/>
    <w:rsid w:val="00E93771"/>
    <w:rsid w:val="00E97CE5"/>
    <w:rsid w:val="00EA2094"/>
    <w:rsid w:val="00EA3412"/>
    <w:rsid w:val="00EA676A"/>
    <w:rsid w:val="00EB0447"/>
    <w:rsid w:val="00EB42CA"/>
    <w:rsid w:val="00EC1187"/>
    <w:rsid w:val="00EC187A"/>
    <w:rsid w:val="00EC1BD3"/>
    <w:rsid w:val="00EC5D50"/>
    <w:rsid w:val="00EC624D"/>
    <w:rsid w:val="00EC7094"/>
    <w:rsid w:val="00EC7D52"/>
    <w:rsid w:val="00ED2720"/>
    <w:rsid w:val="00ED4A2D"/>
    <w:rsid w:val="00ED5B4B"/>
    <w:rsid w:val="00EE3033"/>
    <w:rsid w:val="00EF5942"/>
    <w:rsid w:val="00EF5C7B"/>
    <w:rsid w:val="00EF75FC"/>
    <w:rsid w:val="00F14E78"/>
    <w:rsid w:val="00F22AFD"/>
    <w:rsid w:val="00F23271"/>
    <w:rsid w:val="00F26E57"/>
    <w:rsid w:val="00F272AB"/>
    <w:rsid w:val="00F30A9B"/>
    <w:rsid w:val="00F328EC"/>
    <w:rsid w:val="00F34D02"/>
    <w:rsid w:val="00F3519C"/>
    <w:rsid w:val="00F364BB"/>
    <w:rsid w:val="00F367AB"/>
    <w:rsid w:val="00F37825"/>
    <w:rsid w:val="00F37B2D"/>
    <w:rsid w:val="00F41079"/>
    <w:rsid w:val="00F415D9"/>
    <w:rsid w:val="00F42627"/>
    <w:rsid w:val="00F47D27"/>
    <w:rsid w:val="00F53831"/>
    <w:rsid w:val="00F550A4"/>
    <w:rsid w:val="00F55590"/>
    <w:rsid w:val="00F6055D"/>
    <w:rsid w:val="00F64E69"/>
    <w:rsid w:val="00F65D85"/>
    <w:rsid w:val="00F66DFA"/>
    <w:rsid w:val="00F70DC5"/>
    <w:rsid w:val="00F72F1C"/>
    <w:rsid w:val="00F75BFA"/>
    <w:rsid w:val="00F7783A"/>
    <w:rsid w:val="00F801FD"/>
    <w:rsid w:val="00F831EE"/>
    <w:rsid w:val="00F83F0C"/>
    <w:rsid w:val="00F85181"/>
    <w:rsid w:val="00F87554"/>
    <w:rsid w:val="00F90CF5"/>
    <w:rsid w:val="00F90DD7"/>
    <w:rsid w:val="00F912AE"/>
    <w:rsid w:val="00F91BBD"/>
    <w:rsid w:val="00F9221D"/>
    <w:rsid w:val="00F922F5"/>
    <w:rsid w:val="00F925D7"/>
    <w:rsid w:val="00F960C2"/>
    <w:rsid w:val="00F9640E"/>
    <w:rsid w:val="00F973DC"/>
    <w:rsid w:val="00FA43B8"/>
    <w:rsid w:val="00FA558E"/>
    <w:rsid w:val="00FA6031"/>
    <w:rsid w:val="00FB03C7"/>
    <w:rsid w:val="00FB0903"/>
    <w:rsid w:val="00FB2338"/>
    <w:rsid w:val="00FB6031"/>
    <w:rsid w:val="00FC371C"/>
    <w:rsid w:val="00FD20D4"/>
    <w:rsid w:val="00FD22BD"/>
    <w:rsid w:val="00FD2B13"/>
    <w:rsid w:val="00FD31F2"/>
    <w:rsid w:val="00FD4850"/>
    <w:rsid w:val="00FD58F0"/>
    <w:rsid w:val="00FD605E"/>
    <w:rsid w:val="00FD7172"/>
    <w:rsid w:val="00FE0F4C"/>
    <w:rsid w:val="00FE1325"/>
    <w:rsid w:val="00FE77F1"/>
    <w:rsid w:val="00FE7B53"/>
    <w:rsid w:val="00FF01C8"/>
    <w:rsid w:val="00FF3547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732BE"/>
  <w15:chartTrackingRefBased/>
  <w15:docId w15:val="{82AA0A65-8C96-42A8-A01E-A6B66E98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E82"/>
    <w:pPr>
      <w:spacing w:line="360" w:lineRule="auto"/>
      <w:jc w:val="both"/>
    </w:pPr>
    <w:rPr>
      <w:rFonts w:ascii="Calibri Light" w:hAnsi="Calibri Light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4F69BA"/>
    <w:pPr>
      <w:keepNext/>
      <w:keepLines/>
      <w:spacing w:after="0"/>
      <w:jc w:val="center"/>
      <w:outlineLvl w:val="0"/>
    </w:pPr>
    <w:rPr>
      <w:rFonts w:ascii="Cinzel Decorative Bold" w:eastAsiaTheme="majorEastAsia" w:hAnsi="Cinzel Decorative Bold" w:cstheme="majorBidi"/>
      <w:b/>
      <w:color w:val="921827"/>
      <w:sz w:val="7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69BA"/>
    <w:pPr>
      <w:keepNext/>
      <w:keepLines/>
      <w:spacing w:after="0"/>
      <w:outlineLvl w:val="1"/>
    </w:pPr>
    <w:rPr>
      <w:rFonts w:ascii="Cinzel Decorative Bold" w:eastAsiaTheme="majorEastAsia" w:hAnsi="Cinzel Decorative Bold" w:cs="Calibri Light"/>
      <w:color w:val="FFFFFF" w:themeColor="background1"/>
      <w:sz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69BA"/>
    <w:pPr>
      <w:keepNext/>
      <w:keepLines/>
      <w:spacing w:before="160" w:after="80"/>
      <w:jc w:val="left"/>
      <w:outlineLvl w:val="2"/>
    </w:pPr>
    <w:rPr>
      <w:rFonts w:ascii="Cinzel Decorative Bold" w:eastAsiaTheme="majorEastAsia" w:hAnsi="Cinzel Decorative Bold" w:cstheme="majorBidi"/>
      <w:b/>
      <w:color w:val="921827"/>
      <w:sz w:val="32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295876"/>
    <w:pPr>
      <w:keepNext/>
      <w:keepLines/>
      <w:spacing w:before="80" w:after="40"/>
      <w:outlineLvl w:val="3"/>
    </w:pPr>
    <w:rPr>
      <w:rFonts w:ascii="Cinzel Decorative Bold" w:eastAsiaTheme="majorEastAsia" w:hAnsi="Cinzel Decorative Bold" w:cstheme="majorBidi"/>
      <w:b/>
      <w:iCs/>
      <w:color w:val="D7A437"/>
      <w:sz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F69BA"/>
    <w:pPr>
      <w:keepNext/>
      <w:keepLines/>
      <w:spacing w:before="80" w:after="40"/>
      <w:outlineLvl w:val="4"/>
    </w:pPr>
    <w:rPr>
      <w:rFonts w:ascii="Cinzel Decorative Bold" w:eastAsiaTheme="majorEastAsia" w:hAnsi="Cinzel Decorative Bold" w:cstheme="majorBidi"/>
      <w:b/>
      <w:color w:val="D7A437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8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8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8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8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rsid w:val="00F605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055D"/>
    <w:rPr>
      <w:rFonts w:asciiTheme="majorHAnsi" w:eastAsiaTheme="majorEastAsia" w:hAnsiTheme="majorHAnsi" w:cstheme="majorBidi"/>
      <w:b w:val="0"/>
      <w:i w:val="0"/>
      <w:color w:val="000000" w:themeColor="text1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4F69BA"/>
    <w:rPr>
      <w:rFonts w:ascii="Cinzel Decorative Bold" w:eastAsiaTheme="majorEastAsia" w:hAnsi="Cinzel Decorative Bold" w:cstheme="majorBidi"/>
      <w:b/>
      <w:i w:val="0"/>
      <w:color w:val="921827"/>
      <w:sz w:val="7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69BA"/>
    <w:rPr>
      <w:rFonts w:ascii="Cinzel Decorative Bold" w:eastAsiaTheme="majorEastAsia" w:hAnsi="Cinzel Decorative Bold" w:cs="Calibri Light"/>
      <w:b w:val="0"/>
      <w:i w:val="0"/>
      <w:color w:val="FFFFFF" w:themeColor="background1"/>
      <w:sz w:val="36"/>
    </w:rPr>
  </w:style>
  <w:style w:type="character" w:customStyle="1" w:styleId="Ttulo3Char">
    <w:name w:val="Título 3 Char"/>
    <w:basedOn w:val="Fontepargpadro"/>
    <w:link w:val="Ttulo3"/>
    <w:uiPriority w:val="9"/>
    <w:rsid w:val="004F69BA"/>
    <w:rPr>
      <w:rFonts w:ascii="Cinzel Decorative Bold" w:eastAsiaTheme="majorEastAsia" w:hAnsi="Cinzel Decorative Bold" w:cstheme="majorBidi"/>
      <w:b/>
      <w:i w:val="0"/>
      <w:color w:val="921827"/>
      <w:sz w:val="32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95876"/>
    <w:rPr>
      <w:rFonts w:ascii="Cinzel Decorative Bold" w:eastAsiaTheme="majorEastAsia" w:hAnsi="Cinzel Decorative Bold" w:cstheme="majorBidi"/>
      <w:b/>
      <w:iCs/>
      <w:color w:val="D7A437"/>
      <w:sz w:val="28"/>
    </w:rPr>
  </w:style>
  <w:style w:type="character" w:customStyle="1" w:styleId="Ttulo5Char">
    <w:name w:val="Título 5 Char"/>
    <w:basedOn w:val="Fontepargpadro"/>
    <w:link w:val="Ttulo5"/>
    <w:uiPriority w:val="9"/>
    <w:rsid w:val="004F69BA"/>
    <w:rPr>
      <w:rFonts w:ascii="Cinzel Decorative Bold" w:eastAsiaTheme="majorEastAsia" w:hAnsi="Cinzel Decorative Bold" w:cstheme="majorBidi"/>
      <w:b/>
      <w:i w:val="0"/>
      <w:color w:val="D7A437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855"/>
    <w:rPr>
      <w:rFonts w:asciiTheme="minorHAnsi" w:eastAsiaTheme="majorEastAsia" w:hAnsiTheme="minorHAnsi" w:cstheme="majorBidi"/>
      <w:b w:val="0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855"/>
    <w:rPr>
      <w:rFonts w:asciiTheme="minorHAnsi" w:eastAsiaTheme="majorEastAsia" w:hAnsiTheme="minorHAnsi" w:cstheme="majorBidi"/>
      <w:b w:val="0"/>
      <w:i w:val="0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855"/>
    <w:rPr>
      <w:rFonts w:asciiTheme="minorHAnsi" w:eastAsiaTheme="majorEastAsia" w:hAnsiTheme="minorHAnsi" w:cstheme="majorBidi"/>
      <w:b w:val="0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855"/>
    <w:rPr>
      <w:rFonts w:asciiTheme="minorHAnsi" w:eastAsiaTheme="majorEastAsia" w:hAnsiTheme="minorHAnsi" w:cstheme="majorBidi"/>
      <w:b w:val="0"/>
      <w:i w:val="0"/>
      <w:color w:val="272727" w:themeColor="text1" w:themeTint="D8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30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855"/>
    <w:rPr>
      <w:rFonts w:ascii="Calibri Light" w:hAnsi="Calibri Light"/>
      <w:b w:val="0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3058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855"/>
    <w:rPr>
      <w:rFonts w:ascii="Calibri Light" w:hAnsi="Calibri Light"/>
      <w:b w:val="0"/>
      <w:i/>
      <w:iCs/>
      <w:color w:val="0F476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855"/>
    <w:rPr>
      <w:rFonts w:ascii="Calibri Light" w:hAnsi="Calibri Light"/>
      <w:b w:val="0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305855"/>
    <w:rPr>
      <w:rFonts w:ascii="Calibri Light" w:hAnsi="Calibri Light"/>
      <w:b/>
      <w:bCs/>
      <w:i w:val="0"/>
      <w:smallCaps/>
      <w:color w:val="0F4761" w:themeColor="accent1" w:themeShade="BF"/>
      <w:spacing w:val="5"/>
      <w:sz w:val="22"/>
    </w:rPr>
  </w:style>
  <w:style w:type="paragraph" w:styleId="Cabealho">
    <w:name w:val="header"/>
    <w:basedOn w:val="Normal"/>
    <w:link w:val="CabealhoChar"/>
    <w:uiPriority w:val="99"/>
    <w:unhideWhenUsed/>
    <w:rsid w:val="00305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5855"/>
    <w:rPr>
      <w:rFonts w:ascii="Calibri Light" w:hAnsi="Calibri Light"/>
      <w:b w:val="0"/>
      <w:i w:val="0"/>
      <w:color w:val="000000" w:themeColor="text1"/>
      <w:sz w:val="22"/>
    </w:rPr>
  </w:style>
  <w:style w:type="paragraph" w:styleId="Rodap">
    <w:name w:val="footer"/>
    <w:basedOn w:val="Normal"/>
    <w:link w:val="RodapChar"/>
    <w:uiPriority w:val="99"/>
    <w:unhideWhenUsed/>
    <w:rsid w:val="003058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5855"/>
    <w:rPr>
      <w:rFonts w:ascii="Calibri Light" w:hAnsi="Calibri Light"/>
      <w:b w:val="0"/>
      <w:i w:val="0"/>
      <w:color w:val="000000" w:themeColor="text1"/>
      <w:sz w:val="22"/>
    </w:rPr>
  </w:style>
  <w:style w:type="character" w:styleId="Hyperlink">
    <w:name w:val="Hyperlink"/>
    <w:basedOn w:val="Fontepargpadro"/>
    <w:uiPriority w:val="99"/>
    <w:unhideWhenUsed/>
    <w:rsid w:val="008523D9"/>
    <w:rPr>
      <w:rFonts w:ascii="Calibri Light" w:hAnsi="Calibri Light"/>
      <w:b w:val="0"/>
      <w:i w:val="0"/>
      <w:color w:val="467886" w:themeColor="hyperlink"/>
      <w:sz w:val="22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23D9"/>
    <w:rPr>
      <w:rFonts w:ascii="Calibri Light" w:hAnsi="Calibri Light"/>
      <w:b w:val="0"/>
      <w:i w:val="0"/>
      <w:color w:val="605E5C"/>
      <w:sz w:val="22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6B689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92A41"/>
    <w:pPr>
      <w:spacing w:before="100" w:beforeAutospacing="1" w:after="100" w:afterAutospacing="1" w:line="240" w:lineRule="auto"/>
      <w:jc w:val="left"/>
    </w:pPr>
    <w:rPr>
      <w:rFonts w:eastAsia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92A41"/>
    <w:rPr>
      <w:rFonts w:ascii="Calibri Light" w:hAnsi="Calibri Light"/>
      <w:b/>
      <w:bCs/>
      <w:i w:val="0"/>
      <w:color w:val="000000" w:themeColor="text1"/>
      <w:sz w:val="22"/>
    </w:rPr>
  </w:style>
  <w:style w:type="table" w:styleId="TabeladeGrade3-nfase2">
    <w:name w:val="Grid Table 3 Accent 2"/>
    <w:basedOn w:val="Tabelanormal"/>
    <w:uiPriority w:val="48"/>
    <w:rsid w:val="001B263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4-nfase2">
    <w:name w:val="Grid Table 4 Accent 2"/>
    <w:basedOn w:val="Tabelanormal"/>
    <w:uiPriority w:val="49"/>
    <w:rsid w:val="001B263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rsid w:val="004845A3"/>
    <w:pPr>
      <w:spacing w:before="48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845A3"/>
    <w:pPr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4845A3"/>
    <w:pPr>
      <w:spacing w:before="240" w:after="0"/>
      <w:jc w:val="left"/>
    </w:pPr>
    <w:rPr>
      <w:rFonts w:asciiTheme="minorHAnsi" w:hAnsiTheme="minorHAns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4845A3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4845A3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845A3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845A3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845A3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845A3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845A3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table" w:styleId="TabeladeGrade5Escura-nfase2">
    <w:name w:val="Grid Table 5 Dark Accent 2"/>
    <w:basedOn w:val="Tabelanormal"/>
    <w:uiPriority w:val="50"/>
    <w:rsid w:val="0078495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character" w:styleId="nfase">
    <w:name w:val="Emphasis"/>
    <w:basedOn w:val="Fontepargpadro"/>
    <w:uiPriority w:val="20"/>
    <w:rsid w:val="001B5C0B"/>
    <w:rPr>
      <w:rFonts w:ascii="Calibri Light" w:hAnsi="Calibri Light"/>
      <w:b w:val="0"/>
      <w:i/>
      <w:iCs/>
      <w:color w:val="000000" w:themeColor="text1"/>
      <w:sz w:val="22"/>
    </w:rPr>
  </w:style>
  <w:style w:type="table" w:styleId="TabeladeGradeClara">
    <w:name w:val="Grid Table Light"/>
    <w:basedOn w:val="Tabelanormal"/>
    <w:uiPriority w:val="40"/>
    <w:rsid w:val="001B5C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1B5C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3">
    <w:name w:val="Plain Table 3"/>
    <w:basedOn w:val="Tabelanormal"/>
    <w:uiPriority w:val="43"/>
    <w:rsid w:val="000249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2491C"/>
    <w:rPr>
      <w:rFonts w:ascii="Calibri Light" w:hAnsi="Calibri Light"/>
      <w:b w:val="0"/>
      <w:i w:val="0"/>
      <w:color w:val="000000" w:themeColor="text1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249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2491C"/>
    <w:rPr>
      <w:rFonts w:ascii="Calibri Light" w:hAnsi="Calibri Light"/>
      <w:b w:val="0"/>
      <w:i w:val="0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49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491C"/>
    <w:rPr>
      <w:rFonts w:ascii="Calibri Light" w:hAnsi="Calibri Light"/>
      <w:b/>
      <w:bCs/>
      <w:i w:val="0"/>
      <w:color w:val="000000" w:themeColor="text1"/>
      <w:sz w:val="20"/>
      <w:szCs w:val="20"/>
    </w:rPr>
  </w:style>
  <w:style w:type="table" w:styleId="SimplesTabela2">
    <w:name w:val="Plain Table 2"/>
    <w:basedOn w:val="Tabelanormal"/>
    <w:uiPriority w:val="42"/>
    <w:rsid w:val="0002491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merodepgina">
    <w:name w:val="page number"/>
    <w:basedOn w:val="Fontepargpadro"/>
    <w:uiPriority w:val="99"/>
    <w:semiHidden/>
    <w:unhideWhenUsed/>
    <w:rsid w:val="009B1637"/>
  </w:style>
  <w:style w:type="paragraph" w:styleId="SemEspaamento">
    <w:name w:val="No Spacing"/>
    <w:uiPriority w:val="1"/>
    <w:qFormat/>
    <w:rsid w:val="00F26E57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lang w:val="en-US" w:eastAsia="zh-CN"/>
      <w14:ligatures w14:val="none"/>
    </w:rPr>
  </w:style>
  <w:style w:type="paragraph" w:customStyle="1" w:styleId="Sumrio11">
    <w:name w:val="Sumário 11"/>
    <w:basedOn w:val="Normal"/>
    <w:pPr>
      <w:tabs>
        <w:tab w:val="right" w:leader="dot" w:pos="9900"/>
      </w:tabs>
      <w:spacing w:before="200" w:after="40" w:line="276" w:lineRule="auto"/>
    </w:pPr>
    <w:rPr>
      <w:b/>
      <w:color w:val="921827"/>
      <w:sz w:val="24"/>
    </w:rPr>
  </w:style>
  <w:style w:type="paragraph" w:customStyle="1" w:styleId="Sumrio31">
    <w:name w:val="Sumário 31"/>
    <w:basedOn w:val="Normal"/>
    <w:pPr>
      <w:tabs>
        <w:tab w:val="right" w:leader="dot" w:pos="9900"/>
      </w:tabs>
      <w:spacing w:after="40" w:line="276" w:lineRule="auto"/>
      <w:ind w:left="340"/>
    </w:pPr>
    <w:rPr>
      <w:color w:val="2626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76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8879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0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0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7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8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38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49" Type="http://schemas.openxmlformats.org/officeDocument/2006/relationships/image" Target="media/image34.png"/><Relationship Id="rId50" Type="http://schemas.openxmlformats.org/officeDocument/2006/relationships/image" Target="media/image3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FIL</b:Tag>
    <b:SourceType>Book</b:SourceType>
    <b:Guid>{1C3D22BD-DEA7-4D46-8FC1-8365622CC160}</b:Guid>
    <b:Author>
      <b:Author>
        <b:NameList>
          <b:Person>
            <b:Last>FILHO</b:Last>
            <b:First>Geraldo</b:First>
            <b:Middle>B. Bogliolo - Patologia. 10. ed. Rio de Janeiro: Guanabara Koogan, 2021. E-book. p.192. ISBN 9788527738378.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8443735-E837-944C-8ADB-82BAE8474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17193</Words>
  <Characters>92848</Characters>
  <Application>Microsoft Office Word</Application>
  <DocSecurity>0</DocSecurity>
  <Lines>773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109822</CharactersWithSpaces>
  <SharedDoc>false</SharedDoc>
  <HLinks>
    <vt:vector size="42" baseType="variant">
      <vt:variant>
        <vt:i4>6422642</vt:i4>
      </vt:variant>
      <vt:variant>
        <vt:i4>21</vt:i4>
      </vt:variant>
      <vt:variant>
        <vt:i4>0</vt:i4>
      </vt:variant>
      <vt:variant>
        <vt:i4>5</vt:i4>
      </vt:variant>
      <vt:variant>
        <vt:lpwstr>https://histologyguide.com/</vt:lpwstr>
      </vt:variant>
      <vt:variant>
        <vt:lpwstr/>
      </vt:variant>
      <vt:variant>
        <vt:i4>90</vt:i4>
      </vt:variant>
      <vt:variant>
        <vt:i4>18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/books/9788527728867/</vt:lpwstr>
      </vt:variant>
      <vt:variant>
        <vt:i4>524382</vt:i4>
      </vt:variant>
      <vt:variant>
        <vt:i4>15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/books/9788582714041/</vt:lpwstr>
      </vt:variant>
      <vt:variant>
        <vt:i4>80</vt:i4>
      </vt:variant>
      <vt:variant>
        <vt:i4>12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/books/9788527734608/</vt:lpwstr>
      </vt:variant>
      <vt:variant>
        <vt:i4>983125</vt:i4>
      </vt:variant>
      <vt:variant>
        <vt:i4>9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/books/9788527739283/</vt:lpwstr>
      </vt:variant>
      <vt:variant>
        <vt:i4>327771</vt:i4>
      </vt:variant>
      <vt:variant>
        <vt:i4>6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/books/9788527738378/</vt:lpwstr>
      </vt:variant>
      <vt:variant>
        <vt:i4>458835</vt:i4>
      </vt:variant>
      <vt:variant>
        <vt:i4>3</vt:i4>
      </vt:variant>
      <vt:variant>
        <vt:i4>0</vt:i4>
      </vt:variant>
      <vt:variant>
        <vt:i4>5</vt:i4>
      </vt:variant>
      <vt:variant>
        <vt:lpwstr>https://integrada.minhabiblioteca.com.br/</vt:lpwstr>
      </vt:variant>
      <vt:variant>
        <vt:lpwstr>/books/9788595158924/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Diabetes Mellitus – MedSum</dc:title>
  <dc:subject/>
  <dc:creator>Laura Nunes</dc:creator>
  <cp:keywords/>
  <dc:description/>
  <cp:lastModifiedBy>Laura Emili Silva Nunes</cp:lastModifiedBy>
  <cp:revision>2</cp:revision>
  <cp:lastPrinted>2026-09-22T21:08:00Z</cp:lastPrinted>
  <dcterms:created xsi:type="dcterms:W3CDTF">2026-10-20T23:24:00Z</dcterms:created>
  <dcterms:modified xsi:type="dcterms:W3CDTF">2026-10-20T23:24:00Z</dcterms:modified>
</cp:coreProperties>
</file>